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Autospacing="0"/>
        <w:jc w:val="left"/>
        <w:rPr>
          <w:rFonts w:hint="default" w:ascii="宋体" w:hAnsi="宋体" w:eastAsia="宋体" w:cs="Times New Roman"/>
          <w:kern w:val="0"/>
          <w:sz w:val="24"/>
          <w:szCs w:val="21"/>
          <w:lang w:val="en-US" w:eastAsia="zh-CN" w:bidi="ar-SA"/>
        </w:rPr>
      </w:pPr>
      <w:bookmarkStart w:id="2" w:name="_GoBack"/>
      <w:bookmarkEnd w:id="2"/>
      <w:r>
        <w:rPr>
          <w:rFonts w:hint="eastAsia" w:ascii="宋体" w:hAnsi="宋体" w:eastAsia="宋体" w:cs="Times New Roman"/>
          <w:kern w:val="0"/>
          <w:sz w:val="24"/>
          <w:szCs w:val="21"/>
          <w:lang w:val="en-US" w:bidi="ar-SA"/>
        </w:rPr>
        <w:t>证券代码：002043          证券简称：兔宝宝          公告编号：</w:t>
      </w:r>
      <w:r>
        <w:rPr>
          <w:rFonts w:hint="eastAsia" w:ascii="宋体" w:hAnsi="宋体" w:eastAsia="宋体" w:cs="Times New Roman"/>
          <w:kern w:val="0"/>
          <w:sz w:val="24"/>
          <w:szCs w:val="21"/>
          <w:lang w:val="en-US" w:eastAsia="zh-CN" w:bidi="ar-SA"/>
        </w:rPr>
        <w:t>202</w:t>
      </w:r>
      <w:r>
        <w:rPr>
          <w:rFonts w:hint="eastAsia" w:cs="Times New Roman"/>
          <w:kern w:val="0"/>
          <w:sz w:val="24"/>
          <w:szCs w:val="21"/>
          <w:lang w:val="en-US" w:eastAsia="zh-CN" w:bidi="ar-SA"/>
        </w:rPr>
        <w:t>4</w:t>
      </w:r>
      <w:r>
        <w:rPr>
          <w:rFonts w:hint="eastAsia" w:ascii="宋体" w:hAnsi="宋体" w:eastAsia="宋体" w:cs="Times New Roman"/>
          <w:kern w:val="0"/>
          <w:sz w:val="24"/>
          <w:szCs w:val="21"/>
          <w:lang w:val="en-US" w:eastAsia="zh-CN" w:bidi="ar-SA"/>
        </w:rPr>
        <w:t>-0</w:t>
      </w:r>
      <w:r>
        <w:rPr>
          <w:rFonts w:hint="eastAsia" w:cs="Times New Roman"/>
          <w:kern w:val="0"/>
          <w:sz w:val="24"/>
          <w:szCs w:val="21"/>
          <w:lang w:val="en-US" w:eastAsia="zh-CN" w:bidi="ar-SA"/>
        </w:rPr>
        <w:t>28</w:t>
      </w:r>
    </w:p>
    <w:p>
      <w:pPr>
        <w:spacing w:before="156" w:beforeLines="50" w:line="360" w:lineRule="auto"/>
        <w:rPr>
          <w:rFonts w:ascii="Times New Roman" w:hAnsi="Times New Roman" w:cs="Times New Roman"/>
          <w:b/>
          <w:sz w:val="48"/>
          <w:szCs w:val="24"/>
        </w:rPr>
      </w:pPr>
    </w:p>
    <w:p>
      <w:pPr>
        <w:spacing w:before="156" w:beforeLines="50" w:line="360" w:lineRule="auto"/>
        <w:ind w:firstLine="361" w:firstLineChars="100"/>
        <w:jc w:val="center"/>
        <w:rPr>
          <w:rFonts w:ascii="Times New Roman" w:hAnsi="Times New Roman" w:cs="Times New Roman"/>
          <w:b/>
          <w:sz w:val="36"/>
          <w:szCs w:val="20"/>
        </w:rPr>
      </w:pPr>
      <w:r>
        <w:rPr>
          <w:rFonts w:ascii="Times New Roman" w:hAnsi="Times New Roman" w:cs="Times New Roman"/>
          <w:b/>
          <w:sz w:val="36"/>
          <w:szCs w:val="20"/>
        </w:rPr>
        <w:t>德华兔宝宝装饰新材股份有限公司</w:t>
      </w:r>
    </w:p>
    <w:p>
      <w:pPr>
        <w:spacing w:before="156" w:beforeLines="50" w:line="360" w:lineRule="auto"/>
        <w:jc w:val="center"/>
        <w:rPr>
          <w:rFonts w:ascii="Times New Roman" w:hAnsi="Times New Roman" w:cs="Times New Roman"/>
          <w:b/>
          <w:sz w:val="36"/>
          <w:szCs w:val="20"/>
        </w:rPr>
      </w:pPr>
      <w:r>
        <w:rPr>
          <w:rFonts w:ascii="Times New Roman" w:hAnsi="Times New Roman" w:cs="Times New Roman"/>
          <w:b/>
          <w:sz w:val="36"/>
          <w:szCs w:val="20"/>
        </w:rPr>
        <w:t>2023年年度募集资金存放与使用情况的专项报告</w:t>
      </w:r>
    </w:p>
    <w:p>
      <w:pPr>
        <w:spacing w:before="624" w:beforeLines="200" w:line="360" w:lineRule="auto"/>
        <w:ind w:firstLine="480" w:firstLineChars="200"/>
        <w:rPr>
          <w:rFonts w:ascii="Times New Roman" w:hAnsi="Times New Roman" w:cs="Times New Roman"/>
          <w:sz w:val="21"/>
          <w:szCs w:val="21"/>
        </w:rPr>
      </w:pPr>
      <w:r>
        <w:rPr>
          <w:rFonts w:ascii="Times New Roman" w:hAnsi="Times New Roman" w:cs="Times New Roman"/>
          <w:sz w:val="24"/>
          <w:szCs w:val="24"/>
          <w:lang w:val="en-US" w:bidi="ar-SA"/>
        </w:rPr>
        <mc:AlternateContent>
          <mc:Choice Requires="wps">
            <w:drawing>
              <wp:anchor distT="45720" distB="45720" distL="114300" distR="114300" simplePos="0" relativeHeight="251659264" behindDoc="1" locked="0" layoutInCell="1" allowOverlap="1">
                <wp:simplePos x="0" y="0"/>
                <wp:positionH relativeFrom="margin">
                  <wp:posOffset>330200</wp:posOffset>
                </wp:positionH>
                <wp:positionV relativeFrom="paragraph">
                  <wp:posOffset>234315</wp:posOffset>
                </wp:positionV>
                <wp:extent cx="4758690" cy="717550"/>
                <wp:effectExtent l="0" t="0" r="22860" b="2540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758885" cy="717550"/>
                        </a:xfrm>
                        <a:prstGeom prst="rect">
                          <a:avLst/>
                        </a:prstGeom>
                        <a:noFill/>
                        <a:ln w="0">
                          <a:solidFill>
                            <a:srgbClr val="000000"/>
                          </a:solidFill>
                          <a:miter lim="800000"/>
                        </a:ln>
                      </wps:spPr>
                      <wps:txbx>
                        <w:txbxContent>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本公司及董事会全体成员</w:t>
                            </w:r>
                            <w:r>
                              <w:rPr>
                                <w:rFonts w:ascii="Times New Roman" w:hAnsi="Times New Roman" w:cs="Times New Roman"/>
                                <w:sz w:val="24"/>
                                <w:szCs w:val="24"/>
                              </w:rPr>
                              <w:t>保证信息披露的内容真实、准确、完整，没有虚假记载、误导性陈述或重大遗漏。</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6pt;margin-top:18.45pt;height:56.5pt;width:374.7pt;mso-position-horizontal-relative:margin;z-index:-251657216;mso-width-relative:page;mso-height-relative:page;" filled="f" stroked="t" coordsize="21600,21600" o:gfxdata="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bV973tkAAAAJAQAADwAAAAAAAAABACAAAAAiAAAAZHJzL2Rvd25yZXYu&#10;eG1sUEsBAhQAFAAAAAgAh07iQDPd9tEzAgAAUQQAAA4AAAAAAAAAAQAgAAAAKAEAAGRycy9lMm9E&#10;b2MueG1sUEsFBgAAAAAGAAYAWQEAAM0FAAAAAA==&#10;">
                <v:fill on="f" focussize="0,0"/>
                <v:stroke weight="0pt" color="#000000" miterlimit="8" joinstyle="miter"/>
                <v:imagedata o:title=""/>
                <o:lock v:ext="edit" aspectratio="f"/>
                <v:textbox>
                  <w:txbxContent>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本公司及董事会全体成员</w:t>
                      </w:r>
                      <w:r>
                        <w:rPr>
                          <w:rFonts w:ascii="Times New Roman" w:hAnsi="Times New Roman" w:cs="Times New Roman"/>
                          <w:sz w:val="24"/>
                          <w:szCs w:val="24"/>
                        </w:rPr>
                        <w:t>保证信息披露的内容真实、准确、完整，没有虚假记载、误导性陈述或重大遗漏。</w:t>
                      </w:r>
                    </w:p>
                  </w:txbxContent>
                </v:textbox>
              </v:shape>
            </w:pict>
          </mc:Fallback>
        </mc:AlternateContent>
      </w:r>
    </w:p>
    <w:p>
      <w:pPr>
        <w:pStyle w:val="7"/>
        <w:spacing w:before="156" w:beforeLines="50" w:line="360" w:lineRule="auto"/>
        <w:ind w:left="0" w:firstLine="468"/>
        <w:jc w:val="both"/>
        <w:rPr>
          <w:rFonts w:ascii="Times New Roman" w:hAnsi="Times New Roman" w:cs="Times New Roman"/>
        </w:rPr>
      </w:pPr>
    </w:p>
    <w:p>
      <w:pPr>
        <w:pStyle w:val="7"/>
        <w:spacing w:before="156" w:beforeLines="50" w:line="360" w:lineRule="auto"/>
        <w:ind w:left="0" w:firstLine="468"/>
        <w:jc w:val="both"/>
        <w:rPr>
          <w:rFonts w:ascii="Times New Roman" w:hAnsi="Times New Roman" w:cs="Times New Roman"/>
        </w:rPr>
      </w:pPr>
      <w:r>
        <w:rPr>
          <w:rFonts w:ascii="Times New Roman" w:hAnsi="Times New Roman" w:cs="Times New Roman"/>
        </w:rPr>
        <w:t>根据《上市公司监管指引第2号—上市公司募集资金管理和使用的监管要求（2022年修订）》《深圳证券交易所上市公司自律监管指引第1号——主板上市公司规范运作》等相关规定，本公司董事会将2023年年度募集资金存放与使用情况说明如下：</w:t>
      </w:r>
      <w:bookmarkStart w:id="0" w:name="_Toc86938282"/>
      <w:bookmarkStart w:id="1" w:name="_Toc87015687"/>
    </w:p>
    <w:p>
      <w:pPr>
        <w:pStyle w:val="3"/>
        <w:spacing w:before="156" w:beforeLines="50" w:line="360" w:lineRule="auto"/>
        <w:ind w:left="0" w:firstLine="542" w:firstLineChars="200"/>
        <w:rPr>
          <w:rFonts w:ascii="Times New Roman" w:hAnsi="Times New Roman" w:cs="Times New Roman"/>
        </w:rPr>
      </w:pPr>
      <w:r>
        <w:rPr>
          <w:rFonts w:ascii="Times New Roman" w:hAnsi="Times New Roman" w:cs="Times New Roman"/>
        </w:rPr>
        <w:t>一、募集资金基本情况</w:t>
      </w:r>
      <w:bookmarkEnd w:id="0"/>
      <w:bookmarkEnd w:id="1"/>
    </w:p>
    <w:p>
      <w:pPr>
        <w:pStyle w:val="4"/>
        <w:spacing w:before="156" w:beforeLines="50" w:after="0" w:line="360" w:lineRule="auto"/>
        <w:ind w:firstLine="482" w:firstLineChars="200"/>
        <w:rPr>
          <w:rFonts w:ascii="Times New Roman" w:hAnsi="Times New Roman" w:cs="Times New Roman"/>
          <w:sz w:val="24"/>
          <w:szCs w:val="24"/>
        </w:rPr>
      </w:pPr>
      <w:r>
        <w:rPr>
          <w:rFonts w:ascii="Times New Roman" w:hAnsi="Times New Roman" w:cs="Times New Roman"/>
          <w:sz w:val="24"/>
          <w:szCs w:val="24"/>
        </w:rPr>
        <w:t>（一）实际募集资金金额、资金到位时间</w:t>
      </w:r>
    </w:p>
    <w:p>
      <w:pPr>
        <w:pStyle w:val="7"/>
        <w:autoSpaceDE/>
        <w:autoSpaceDN/>
        <w:spacing w:before="156" w:beforeLines="50" w:line="360" w:lineRule="auto"/>
        <w:ind w:left="0" w:firstLine="480" w:firstLineChars="200"/>
        <w:jc w:val="both"/>
        <w:rPr>
          <w:rFonts w:ascii="Times New Roman" w:hAnsi="Times New Roman" w:cs="Times New Roman"/>
        </w:rPr>
      </w:pPr>
      <w:r>
        <w:rPr>
          <w:rFonts w:hint="eastAsia" w:ascii="Times New Roman" w:hAnsi="Times New Roman" w:cs="Times New Roman"/>
        </w:rPr>
        <w:t>根据中国证券监督管理委员会《关于核准德华兔宝宝装饰新材股份有限公司非公开发行股票的批复》（证监许可〔2022〕2676号），公司以向特定对象发行方式向德华集团控股股份有限公司共1名特定对象发行71,428,571股人民币普通股，每股面值1元，发行价格为6.53元/股，募集资金总额为人民币466,428,568.63元，扣除发行费用人民币6,623,874.79元，实际募集资金净额为人民币459,804,693.84元。上述募集资金已于2023年3月22日到账，募集资金到账情况业经天健会计师事务所（特殊普通合伙）验证，并由其在2023年3月22日出具《验资报告》（天健验〔2023〕104号）。</w:t>
      </w:r>
    </w:p>
    <w:p>
      <w:pPr>
        <w:pStyle w:val="4"/>
        <w:spacing w:before="156" w:beforeLines="50" w:after="0" w:line="360" w:lineRule="auto"/>
        <w:ind w:firstLine="482" w:firstLineChars="200"/>
        <w:rPr>
          <w:rFonts w:ascii="Times New Roman" w:hAnsi="Times New Roman" w:cs="Times New Roman"/>
          <w:sz w:val="24"/>
          <w:szCs w:val="24"/>
        </w:rPr>
      </w:pPr>
      <w:r>
        <w:rPr>
          <w:rFonts w:ascii="Times New Roman" w:hAnsi="Times New Roman" w:cs="Times New Roman"/>
          <w:sz w:val="24"/>
          <w:szCs w:val="24"/>
        </w:rPr>
        <w:t>（二）募集</w:t>
      </w:r>
      <w:r>
        <w:rPr>
          <w:rFonts w:hint="eastAsia" w:ascii="Times New Roman" w:hAnsi="Times New Roman" w:cs="Times New Roman"/>
          <w:sz w:val="24"/>
          <w:szCs w:val="24"/>
        </w:rPr>
        <w:t>资金使用和结余情况</w:t>
      </w:r>
    </w:p>
    <w:p>
      <w:pPr>
        <w:spacing w:line="288" w:lineRule="auto"/>
        <w:ind w:firstLine="440" w:firstLineChars="200"/>
        <w:jc w:val="right"/>
        <w:rPr>
          <w:rFonts w:ascii="宋体" w:hAnsi="宋体"/>
        </w:rPr>
      </w:pPr>
      <w:r>
        <w:rPr>
          <w:rFonts w:hint="eastAsia" w:ascii="宋体" w:hAnsi="宋体"/>
        </w:rPr>
        <w:t>金额单位：人民币万元</w:t>
      </w:r>
    </w:p>
    <w:tbl>
      <w:tblPr>
        <w:tblStyle w:val="15"/>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247"/>
        <w:gridCol w:w="2424"/>
        <w:gridCol w:w="1427"/>
        <w:gridCol w:w="242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2740" w:type="pct"/>
            <w:gridSpan w:val="2"/>
            <w:shd w:val="clear" w:color="auto" w:fill="auto"/>
            <w:vAlign w:val="center"/>
          </w:tcPr>
          <w:p>
            <w:pPr>
              <w:adjustRightInd w:val="0"/>
              <w:ind w:firstLine="220" w:firstLineChars="100"/>
              <w:jc w:val="left"/>
              <w:rPr>
                <w:rFonts w:ascii="宋体" w:hAnsi="宋体" w:cs="宋体"/>
                <w:kern w:val="0"/>
                <w:szCs w:val="21"/>
              </w:rPr>
            </w:pPr>
            <w:r>
              <w:rPr>
                <w:rFonts w:hint="eastAsia" w:ascii="宋体" w:hAnsi="宋体" w:cs="宋体"/>
                <w:kern w:val="0"/>
                <w:szCs w:val="21"/>
              </w:rPr>
              <w:t>项</w:t>
            </w:r>
            <w:r>
              <w:rPr>
                <w:rFonts w:ascii="宋体" w:hAnsi="宋体" w:cs="宋体"/>
                <w:kern w:val="0"/>
                <w:szCs w:val="21"/>
              </w:rPr>
              <w:t xml:space="preserve">  目</w:t>
            </w:r>
          </w:p>
        </w:tc>
        <w:tc>
          <w:tcPr>
            <w:tcW w:w="837" w:type="pct"/>
            <w:shd w:val="clear" w:color="auto" w:fill="auto"/>
            <w:vAlign w:val="center"/>
          </w:tcPr>
          <w:p>
            <w:pPr>
              <w:adjustRightInd w:val="0"/>
              <w:jc w:val="center"/>
              <w:rPr>
                <w:rFonts w:ascii="宋体" w:hAnsi="宋体" w:cs="宋体"/>
                <w:kern w:val="0"/>
                <w:szCs w:val="21"/>
              </w:rPr>
            </w:pPr>
            <w:r>
              <w:rPr>
                <w:rFonts w:hint="eastAsia" w:ascii="宋体" w:hAnsi="宋体" w:cs="宋体"/>
                <w:kern w:val="0"/>
                <w:szCs w:val="21"/>
              </w:rPr>
              <w:t>序号</w:t>
            </w:r>
          </w:p>
        </w:tc>
        <w:tc>
          <w:tcPr>
            <w:tcW w:w="1422" w:type="pct"/>
            <w:shd w:val="clear" w:color="auto" w:fill="auto"/>
            <w:vAlign w:val="center"/>
          </w:tcPr>
          <w:p>
            <w:pPr>
              <w:adjustRightInd w:val="0"/>
              <w:jc w:val="center"/>
              <w:rPr>
                <w:rFonts w:ascii="宋体" w:hAnsi="宋体" w:cs="宋体"/>
                <w:kern w:val="0"/>
                <w:szCs w:val="21"/>
              </w:rPr>
            </w:pPr>
            <w:r>
              <w:rPr>
                <w:rFonts w:hint="eastAsia" w:ascii="宋体" w:hAnsi="宋体" w:cs="宋体"/>
                <w:kern w:val="0"/>
                <w:szCs w:val="21"/>
              </w:rPr>
              <w:t>金  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40" w:type="pct"/>
            <w:gridSpan w:val="2"/>
            <w:shd w:val="clear" w:color="auto" w:fill="auto"/>
            <w:vAlign w:val="center"/>
          </w:tcPr>
          <w:p>
            <w:pPr>
              <w:adjustRightInd w:val="0"/>
              <w:jc w:val="left"/>
              <w:rPr>
                <w:rFonts w:ascii="宋体" w:hAnsi="宋体" w:cs="宋体"/>
                <w:kern w:val="0"/>
                <w:szCs w:val="21"/>
              </w:rPr>
            </w:pPr>
            <w:r>
              <w:rPr>
                <w:rFonts w:hint="eastAsia" w:ascii="宋体" w:hAnsi="宋体" w:cs="宋体"/>
                <w:kern w:val="0"/>
                <w:szCs w:val="21"/>
              </w:rPr>
              <w:t>募集资金净额</w:t>
            </w:r>
          </w:p>
        </w:tc>
        <w:tc>
          <w:tcPr>
            <w:tcW w:w="837" w:type="pct"/>
            <w:shd w:val="clear" w:color="auto" w:fill="auto"/>
            <w:vAlign w:val="center"/>
          </w:tcPr>
          <w:p>
            <w:pPr>
              <w:adjustRightInd w:val="0"/>
              <w:jc w:val="center"/>
              <w:rPr>
                <w:rFonts w:ascii="宋体" w:hAnsi="宋体" w:cs="宋体"/>
                <w:kern w:val="0"/>
                <w:szCs w:val="21"/>
              </w:rPr>
            </w:pPr>
            <w:r>
              <w:rPr>
                <w:rFonts w:hint="eastAsia" w:ascii="宋体" w:hAnsi="宋体" w:cs="宋体"/>
                <w:kern w:val="0"/>
                <w:szCs w:val="21"/>
              </w:rPr>
              <w:t>A</w:t>
            </w:r>
          </w:p>
        </w:tc>
        <w:tc>
          <w:tcPr>
            <w:tcW w:w="1422" w:type="pct"/>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45,980.47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8" w:type="pct"/>
            <w:vMerge w:val="restart"/>
            <w:shd w:val="clear" w:color="auto" w:fill="auto"/>
            <w:vAlign w:val="center"/>
          </w:tcPr>
          <w:p>
            <w:pPr>
              <w:adjustRightInd w:val="0"/>
              <w:jc w:val="left"/>
              <w:rPr>
                <w:rFonts w:ascii="宋体" w:hAnsi="宋体" w:cs="宋体"/>
                <w:kern w:val="0"/>
                <w:szCs w:val="21"/>
              </w:rPr>
            </w:pPr>
            <w:r>
              <w:rPr>
                <w:rFonts w:hint="eastAsia" w:ascii="宋体" w:hAnsi="宋体" w:cs="宋体"/>
                <w:kern w:val="0"/>
                <w:szCs w:val="21"/>
              </w:rPr>
              <w:t>截至期初累计发生额</w:t>
            </w:r>
          </w:p>
        </w:tc>
        <w:tc>
          <w:tcPr>
            <w:tcW w:w="1422" w:type="pct"/>
            <w:shd w:val="clear" w:color="auto" w:fill="auto"/>
            <w:vAlign w:val="center"/>
          </w:tcPr>
          <w:p>
            <w:pPr>
              <w:adjustRightInd w:val="0"/>
              <w:jc w:val="left"/>
              <w:rPr>
                <w:rFonts w:ascii="宋体" w:hAnsi="宋体" w:cs="宋体"/>
                <w:kern w:val="0"/>
                <w:szCs w:val="21"/>
              </w:rPr>
            </w:pPr>
            <w:r>
              <w:rPr>
                <w:rFonts w:hint="eastAsia" w:ascii="宋体" w:hAnsi="宋体" w:cs="宋体"/>
                <w:kern w:val="0"/>
                <w:szCs w:val="21"/>
              </w:rPr>
              <w:t>项目投入</w:t>
            </w:r>
          </w:p>
        </w:tc>
        <w:tc>
          <w:tcPr>
            <w:tcW w:w="837" w:type="pct"/>
            <w:shd w:val="clear" w:color="auto" w:fill="auto"/>
            <w:vAlign w:val="center"/>
          </w:tcPr>
          <w:p>
            <w:pPr>
              <w:adjustRightInd w:val="0"/>
              <w:jc w:val="center"/>
              <w:rPr>
                <w:rFonts w:ascii="宋体" w:hAnsi="宋体" w:cs="宋体"/>
                <w:kern w:val="0"/>
                <w:szCs w:val="21"/>
              </w:rPr>
            </w:pPr>
            <w:r>
              <w:rPr>
                <w:rFonts w:hint="eastAsia" w:ascii="宋体" w:hAnsi="宋体" w:cs="宋体"/>
                <w:kern w:val="0"/>
                <w:szCs w:val="21"/>
              </w:rPr>
              <w:t>B1</w:t>
            </w:r>
          </w:p>
        </w:tc>
        <w:tc>
          <w:tcPr>
            <w:tcW w:w="1422" w:type="pct"/>
            <w:shd w:val="clear" w:color="auto" w:fill="auto"/>
            <w:vAlign w:val="center"/>
          </w:tcPr>
          <w:p>
            <w:pPr>
              <w:adjustRightInd w:val="0"/>
              <w:jc w:val="right"/>
              <w:rPr>
                <w:rFonts w:ascii="宋体" w:hAnsi="宋体" w:cs="宋体"/>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8" w:type="pct"/>
            <w:vMerge w:val="continue"/>
            <w:shd w:val="clear" w:color="auto" w:fill="auto"/>
            <w:vAlign w:val="center"/>
          </w:tcPr>
          <w:p>
            <w:pPr>
              <w:adjustRightInd w:val="0"/>
              <w:jc w:val="left"/>
              <w:rPr>
                <w:rFonts w:ascii="宋体" w:hAnsi="宋体" w:cs="宋体"/>
                <w:kern w:val="0"/>
                <w:szCs w:val="21"/>
              </w:rPr>
            </w:pPr>
          </w:p>
        </w:tc>
        <w:tc>
          <w:tcPr>
            <w:tcW w:w="1422" w:type="pct"/>
            <w:shd w:val="clear" w:color="auto" w:fill="auto"/>
            <w:vAlign w:val="center"/>
          </w:tcPr>
          <w:p>
            <w:pPr>
              <w:adjustRightInd w:val="0"/>
              <w:jc w:val="left"/>
              <w:rPr>
                <w:rFonts w:ascii="宋体" w:hAnsi="宋体" w:cs="宋体"/>
                <w:kern w:val="0"/>
                <w:szCs w:val="21"/>
              </w:rPr>
            </w:pPr>
            <w:r>
              <w:rPr>
                <w:rFonts w:hint="eastAsia" w:ascii="宋体" w:hAnsi="宋体" w:cs="宋体"/>
                <w:kern w:val="0"/>
                <w:szCs w:val="21"/>
              </w:rPr>
              <w:t>利息收入净额</w:t>
            </w:r>
          </w:p>
        </w:tc>
        <w:tc>
          <w:tcPr>
            <w:tcW w:w="837" w:type="pct"/>
            <w:shd w:val="clear" w:color="auto" w:fill="auto"/>
            <w:vAlign w:val="center"/>
          </w:tcPr>
          <w:p>
            <w:pPr>
              <w:adjustRightInd w:val="0"/>
              <w:jc w:val="center"/>
              <w:rPr>
                <w:rFonts w:ascii="宋体" w:hAnsi="宋体" w:cs="宋体"/>
                <w:kern w:val="0"/>
                <w:szCs w:val="21"/>
              </w:rPr>
            </w:pPr>
            <w:r>
              <w:rPr>
                <w:rFonts w:hint="eastAsia" w:ascii="宋体" w:hAnsi="宋体" w:cs="宋体"/>
                <w:kern w:val="0"/>
                <w:szCs w:val="21"/>
              </w:rPr>
              <w:t>B2</w:t>
            </w:r>
          </w:p>
        </w:tc>
        <w:tc>
          <w:tcPr>
            <w:tcW w:w="1422" w:type="pct"/>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1"/>
                <w:szCs w:val="21"/>
                <w:u w:val="none"/>
                <w:lang w:val="en-US" w:eastAsia="zh-CN" w:bidi="ar-S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8" w:type="pct"/>
            <w:vMerge w:val="restart"/>
            <w:shd w:val="clear" w:color="auto" w:fill="auto"/>
            <w:vAlign w:val="center"/>
          </w:tcPr>
          <w:p>
            <w:pPr>
              <w:adjustRightInd w:val="0"/>
              <w:jc w:val="left"/>
              <w:rPr>
                <w:rFonts w:ascii="宋体" w:hAnsi="宋体" w:cs="宋体"/>
                <w:kern w:val="0"/>
                <w:szCs w:val="21"/>
              </w:rPr>
            </w:pPr>
            <w:r>
              <w:rPr>
                <w:rFonts w:hint="eastAsia" w:ascii="宋体" w:hAnsi="宋体" w:cs="宋体"/>
                <w:kern w:val="0"/>
                <w:szCs w:val="21"/>
              </w:rPr>
              <w:t>本期发生额</w:t>
            </w:r>
          </w:p>
        </w:tc>
        <w:tc>
          <w:tcPr>
            <w:tcW w:w="1422" w:type="pct"/>
            <w:shd w:val="clear" w:color="auto" w:fill="auto"/>
            <w:vAlign w:val="center"/>
          </w:tcPr>
          <w:p>
            <w:pPr>
              <w:adjustRightInd w:val="0"/>
              <w:jc w:val="left"/>
              <w:rPr>
                <w:rFonts w:ascii="宋体" w:hAnsi="宋体" w:cs="宋体"/>
                <w:kern w:val="0"/>
                <w:szCs w:val="21"/>
              </w:rPr>
            </w:pPr>
            <w:r>
              <w:rPr>
                <w:rFonts w:hint="eastAsia" w:ascii="宋体" w:hAnsi="宋体" w:cs="宋体"/>
                <w:kern w:val="0"/>
                <w:szCs w:val="21"/>
              </w:rPr>
              <w:t>项目投入</w:t>
            </w:r>
          </w:p>
        </w:tc>
        <w:tc>
          <w:tcPr>
            <w:tcW w:w="837" w:type="pct"/>
            <w:shd w:val="clear" w:color="auto" w:fill="auto"/>
            <w:vAlign w:val="center"/>
          </w:tcPr>
          <w:p>
            <w:pPr>
              <w:adjustRightInd w:val="0"/>
              <w:jc w:val="center"/>
              <w:rPr>
                <w:rFonts w:ascii="宋体" w:hAnsi="宋体" w:cs="宋体"/>
                <w:kern w:val="0"/>
                <w:szCs w:val="21"/>
              </w:rPr>
            </w:pPr>
            <w:r>
              <w:rPr>
                <w:rFonts w:hint="eastAsia" w:ascii="宋体" w:hAnsi="宋体" w:cs="宋体"/>
                <w:kern w:val="0"/>
                <w:szCs w:val="21"/>
              </w:rPr>
              <w:t>C1</w:t>
            </w:r>
          </w:p>
        </w:tc>
        <w:tc>
          <w:tcPr>
            <w:tcW w:w="2422" w:type="dxa"/>
            <w:shd w:val="clear" w:color="auto" w:fill="auto"/>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1"/>
                <w:szCs w:val="21"/>
                <w:u w:val="none"/>
                <w:lang w:val="en-US" w:eastAsia="zh-CN" w:bidi="ar"/>
              </w:rPr>
              <w:t>46,172.50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8" w:type="pct"/>
            <w:vMerge w:val="continue"/>
            <w:shd w:val="clear" w:color="auto" w:fill="auto"/>
            <w:vAlign w:val="center"/>
          </w:tcPr>
          <w:p>
            <w:pPr>
              <w:adjustRightInd w:val="0"/>
              <w:jc w:val="left"/>
              <w:rPr>
                <w:rFonts w:ascii="宋体" w:hAnsi="宋体" w:cs="宋体"/>
                <w:kern w:val="0"/>
                <w:szCs w:val="21"/>
              </w:rPr>
            </w:pPr>
          </w:p>
        </w:tc>
        <w:tc>
          <w:tcPr>
            <w:tcW w:w="1422" w:type="pct"/>
            <w:shd w:val="clear" w:color="auto" w:fill="auto"/>
            <w:vAlign w:val="center"/>
          </w:tcPr>
          <w:p>
            <w:pPr>
              <w:adjustRightInd w:val="0"/>
              <w:jc w:val="left"/>
              <w:rPr>
                <w:rFonts w:ascii="宋体" w:hAnsi="宋体" w:cs="宋体"/>
                <w:kern w:val="0"/>
                <w:szCs w:val="21"/>
              </w:rPr>
            </w:pPr>
            <w:r>
              <w:rPr>
                <w:rFonts w:hint="eastAsia" w:ascii="宋体" w:hAnsi="宋体" w:cs="宋体"/>
                <w:kern w:val="0"/>
                <w:szCs w:val="21"/>
              </w:rPr>
              <w:t>利息收入净额</w:t>
            </w:r>
          </w:p>
        </w:tc>
        <w:tc>
          <w:tcPr>
            <w:tcW w:w="837" w:type="pct"/>
            <w:shd w:val="clear" w:color="auto" w:fill="auto"/>
            <w:vAlign w:val="center"/>
          </w:tcPr>
          <w:p>
            <w:pPr>
              <w:adjustRightInd w:val="0"/>
              <w:jc w:val="center"/>
              <w:rPr>
                <w:rFonts w:ascii="宋体" w:hAnsi="宋体" w:cs="宋体"/>
                <w:kern w:val="0"/>
                <w:szCs w:val="21"/>
              </w:rPr>
            </w:pPr>
            <w:r>
              <w:rPr>
                <w:rFonts w:hint="eastAsia" w:ascii="宋体" w:hAnsi="宋体" w:cs="宋体"/>
                <w:kern w:val="0"/>
                <w:szCs w:val="21"/>
              </w:rPr>
              <w:t>C2</w:t>
            </w:r>
          </w:p>
        </w:tc>
        <w:tc>
          <w:tcPr>
            <w:tcW w:w="2422" w:type="dxa"/>
            <w:shd w:val="clear" w:color="auto" w:fill="auto"/>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1"/>
                <w:szCs w:val="21"/>
                <w:u w:val="none"/>
                <w:lang w:val="en-US" w:eastAsia="zh-CN" w:bidi="ar"/>
              </w:rPr>
              <w:t>192.03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8" w:type="pct"/>
            <w:vMerge w:val="restart"/>
            <w:shd w:val="clear" w:color="auto" w:fill="auto"/>
            <w:vAlign w:val="center"/>
          </w:tcPr>
          <w:p>
            <w:pPr>
              <w:adjustRightInd w:val="0"/>
              <w:jc w:val="left"/>
              <w:rPr>
                <w:rFonts w:ascii="宋体" w:hAnsi="宋体" w:cs="宋体"/>
                <w:kern w:val="0"/>
                <w:szCs w:val="21"/>
              </w:rPr>
            </w:pPr>
            <w:r>
              <w:rPr>
                <w:rFonts w:hint="eastAsia" w:ascii="宋体" w:hAnsi="宋体" w:cs="宋体"/>
                <w:kern w:val="0"/>
                <w:szCs w:val="21"/>
              </w:rPr>
              <w:t>截至期末累计发生额</w:t>
            </w:r>
          </w:p>
        </w:tc>
        <w:tc>
          <w:tcPr>
            <w:tcW w:w="1422" w:type="pct"/>
            <w:shd w:val="clear" w:color="auto" w:fill="auto"/>
            <w:vAlign w:val="center"/>
          </w:tcPr>
          <w:p>
            <w:pPr>
              <w:adjustRightInd w:val="0"/>
              <w:jc w:val="left"/>
              <w:rPr>
                <w:rFonts w:ascii="宋体" w:hAnsi="宋体" w:cs="宋体"/>
                <w:kern w:val="0"/>
                <w:szCs w:val="21"/>
              </w:rPr>
            </w:pPr>
            <w:r>
              <w:rPr>
                <w:rFonts w:hint="eastAsia" w:ascii="宋体" w:hAnsi="宋体" w:cs="宋体"/>
                <w:kern w:val="0"/>
                <w:szCs w:val="21"/>
              </w:rPr>
              <w:t>项目投入</w:t>
            </w:r>
          </w:p>
        </w:tc>
        <w:tc>
          <w:tcPr>
            <w:tcW w:w="837" w:type="pct"/>
            <w:shd w:val="clear" w:color="auto" w:fill="auto"/>
            <w:vAlign w:val="center"/>
          </w:tcPr>
          <w:p>
            <w:pPr>
              <w:adjustRightInd w:val="0"/>
              <w:jc w:val="center"/>
              <w:rPr>
                <w:rFonts w:ascii="宋体" w:hAnsi="宋体" w:cs="宋体"/>
                <w:kern w:val="0"/>
                <w:szCs w:val="21"/>
              </w:rPr>
            </w:pPr>
            <w:r>
              <w:rPr>
                <w:rFonts w:hint="eastAsia" w:ascii="宋体" w:hAnsi="宋体" w:cs="宋体"/>
                <w:kern w:val="0"/>
                <w:szCs w:val="21"/>
              </w:rPr>
              <w:t>D1=B1+C1</w:t>
            </w:r>
          </w:p>
        </w:tc>
        <w:tc>
          <w:tcPr>
            <w:tcW w:w="2422" w:type="dxa"/>
            <w:shd w:val="clear" w:color="auto" w:fill="auto"/>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1"/>
                <w:szCs w:val="21"/>
                <w:u w:val="none"/>
                <w:lang w:val="en-US" w:eastAsia="zh-CN" w:bidi="ar"/>
              </w:rPr>
              <w:t>46,172.50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8" w:type="pct"/>
            <w:vMerge w:val="continue"/>
            <w:shd w:val="clear" w:color="auto" w:fill="auto"/>
            <w:vAlign w:val="center"/>
          </w:tcPr>
          <w:p>
            <w:pPr>
              <w:adjustRightInd w:val="0"/>
              <w:jc w:val="left"/>
              <w:rPr>
                <w:rFonts w:ascii="宋体" w:hAnsi="宋体" w:cs="宋体"/>
                <w:kern w:val="0"/>
                <w:szCs w:val="21"/>
              </w:rPr>
            </w:pPr>
          </w:p>
        </w:tc>
        <w:tc>
          <w:tcPr>
            <w:tcW w:w="1422" w:type="pct"/>
            <w:shd w:val="clear" w:color="auto" w:fill="auto"/>
            <w:vAlign w:val="center"/>
          </w:tcPr>
          <w:p>
            <w:pPr>
              <w:adjustRightInd w:val="0"/>
              <w:jc w:val="left"/>
              <w:rPr>
                <w:rFonts w:ascii="宋体" w:hAnsi="宋体" w:cs="宋体"/>
                <w:kern w:val="0"/>
                <w:szCs w:val="21"/>
              </w:rPr>
            </w:pPr>
            <w:r>
              <w:rPr>
                <w:rFonts w:hint="eastAsia" w:ascii="宋体" w:hAnsi="宋体" w:cs="宋体"/>
                <w:kern w:val="0"/>
                <w:szCs w:val="21"/>
              </w:rPr>
              <w:t>利息收入净额</w:t>
            </w:r>
          </w:p>
        </w:tc>
        <w:tc>
          <w:tcPr>
            <w:tcW w:w="837" w:type="pct"/>
            <w:shd w:val="clear" w:color="auto" w:fill="auto"/>
            <w:vAlign w:val="center"/>
          </w:tcPr>
          <w:p>
            <w:pPr>
              <w:adjustRightInd w:val="0"/>
              <w:jc w:val="center"/>
              <w:rPr>
                <w:rFonts w:ascii="宋体" w:hAnsi="宋体" w:cs="宋体"/>
                <w:kern w:val="0"/>
                <w:szCs w:val="21"/>
              </w:rPr>
            </w:pPr>
            <w:r>
              <w:rPr>
                <w:rFonts w:hint="eastAsia" w:ascii="宋体" w:hAnsi="宋体" w:cs="宋体"/>
                <w:kern w:val="0"/>
                <w:szCs w:val="21"/>
              </w:rPr>
              <w:t>D2=B2+C2</w:t>
            </w:r>
          </w:p>
        </w:tc>
        <w:tc>
          <w:tcPr>
            <w:tcW w:w="2422" w:type="dxa"/>
            <w:shd w:val="clear" w:color="auto" w:fill="auto"/>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1"/>
                <w:szCs w:val="21"/>
                <w:u w:val="none"/>
                <w:lang w:val="en-US" w:eastAsia="zh-CN" w:bidi="ar"/>
              </w:rPr>
              <w:t>192.03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40" w:type="pct"/>
            <w:gridSpan w:val="2"/>
            <w:shd w:val="clear" w:color="auto" w:fill="auto"/>
            <w:vAlign w:val="center"/>
          </w:tcPr>
          <w:p>
            <w:pPr>
              <w:adjustRightInd w:val="0"/>
              <w:jc w:val="left"/>
              <w:rPr>
                <w:rFonts w:ascii="宋体" w:hAnsi="宋体" w:cs="宋体"/>
                <w:kern w:val="0"/>
                <w:szCs w:val="21"/>
              </w:rPr>
            </w:pPr>
            <w:r>
              <w:rPr>
                <w:rFonts w:hint="eastAsia" w:ascii="宋体" w:hAnsi="宋体" w:cs="宋体"/>
                <w:kern w:val="0"/>
                <w:szCs w:val="21"/>
              </w:rPr>
              <w:t>应结余募集资金</w:t>
            </w:r>
          </w:p>
        </w:tc>
        <w:tc>
          <w:tcPr>
            <w:tcW w:w="837" w:type="pct"/>
            <w:shd w:val="clear" w:color="auto" w:fill="auto"/>
            <w:vAlign w:val="center"/>
          </w:tcPr>
          <w:p>
            <w:pPr>
              <w:adjustRightInd w:val="0"/>
              <w:jc w:val="center"/>
              <w:rPr>
                <w:rFonts w:ascii="宋体" w:hAnsi="宋体" w:cs="宋体"/>
                <w:kern w:val="0"/>
                <w:szCs w:val="21"/>
              </w:rPr>
            </w:pPr>
            <w:r>
              <w:rPr>
                <w:rFonts w:hint="eastAsia" w:ascii="宋体" w:hAnsi="宋体" w:cs="宋体"/>
                <w:kern w:val="0"/>
                <w:szCs w:val="21"/>
              </w:rPr>
              <w:t>E=A-D1+D2</w:t>
            </w:r>
          </w:p>
        </w:tc>
        <w:tc>
          <w:tcPr>
            <w:tcW w:w="2422" w:type="dxa"/>
            <w:shd w:val="clear" w:color="auto" w:fill="auto"/>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1"/>
                <w:szCs w:val="21"/>
                <w:u w:val="none"/>
                <w:lang w:val="en-US" w:eastAsia="zh-CN" w:bidi="ar"/>
              </w:rPr>
              <w:t>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40" w:type="pct"/>
            <w:gridSpan w:val="2"/>
            <w:shd w:val="clear" w:color="auto" w:fill="auto"/>
            <w:vAlign w:val="center"/>
          </w:tcPr>
          <w:p>
            <w:pPr>
              <w:adjustRightInd w:val="0"/>
              <w:jc w:val="left"/>
              <w:rPr>
                <w:rFonts w:ascii="宋体" w:hAnsi="宋体" w:cs="宋体"/>
                <w:kern w:val="0"/>
                <w:szCs w:val="21"/>
              </w:rPr>
            </w:pPr>
            <w:r>
              <w:rPr>
                <w:rFonts w:hint="eastAsia" w:ascii="宋体" w:hAnsi="宋体" w:cs="宋体"/>
                <w:kern w:val="0"/>
                <w:szCs w:val="21"/>
              </w:rPr>
              <w:t>实际结余募集资金</w:t>
            </w:r>
          </w:p>
        </w:tc>
        <w:tc>
          <w:tcPr>
            <w:tcW w:w="837" w:type="pct"/>
            <w:shd w:val="clear" w:color="auto" w:fill="auto"/>
            <w:vAlign w:val="center"/>
          </w:tcPr>
          <w:p>
            <w:pPr>
              <w:adjustRightInd w:val="0"/>
              <w:jc w:val="center"/>
              <w:rPr>
                <w:rFonts w:ascii="宋体" w:hAnsi="宋体" w:cs="宋体"/>
                <w:kern w:val="0"/>
                <w:szCs w:val="21"/>
              </w:rPr>
            </w:pPr>
            <w:r>
              <w:rPr>
                <w:rFonts w:hint="eastAsia" w:ascii="宋体" w:hAnsi="宋体" w:cs="宋体"/>
                <w:kern w:val="0"/>
                <w:szCs w:val="21"/>
              </w:rPr>
              <w:t>F</w:t>
            </w:r>
          </w:p>
        </w:tc>
        <w:tc>
          <w:tcPr>
            <w:tcW w:w="2422" w:type="dxa"/>
            <w:shd w:val="clear" w:color="auto" w:fill="auto"/>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cs="宋体"/>
                <w:i w:val="0"/>
                <w:iCs w:val="0"/>
                <w:color w:val="000000"/>
                <w:kern w:val="0"/>
                <w:sz w:val="21"/>
                <w:szCs w:val="21"/>
                <w:u w:val="none"/>
                <w:lang w:val="en-US" w:eastAsia="zh-CN" w:bidi="ar"/>
              </w:rPr>
              <w:t>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40" w:type="pct"/>
            <w:gridSpan w:val="2"/>
            <w:shd w:val="clear" w:color="auto" w:fill="auto"/>
            <w:vAlign w:val="center"/>
          </w:tcPr>
          <w:p>
            <w:pPr>
              <w:adjustRightInd w:val="0"/>
              <w:jc w:val="left"/>
              <w:rPr>
                <w:rFonts w:ascii="宋体" w:hAnsi="宋体" w:cs="宋体"/>
                <w:kern w:val="0"/>
                <w:szCs w:val="21"/>
              </w:rPr>
            </w:pPr>
            <w:r>
              <w:rPr>
                <w:rFonts w:hint="eastAsia" w:ascii="宋体" w:hAnsi="宋体" w:cs="宋体"/>
                <w:kern w:val="0"/>
                <w:szCs w:val="21"/>
              </w:rPr>
              <w:t>差异</w:t>
            </w:r>
          </w:p>
        </w:tc>
        <w:tc>
          <w:tcPr>
            <w:tcW w:w="837" w:type="pct"/>
            <w:shd w:val="clear" w:color="auto" w:fill="auto"/>
            <w:vAlign w:val="center"/>
          </w:tcPr>
          <w:p>
            <w:pPr>
              <w:adjustRightInd w:val="0"/>
              <w:jc w:val="center"/>
              <w:rPr>
                <w:rFonts w:ascii="宋体" w:hAnsi="宋体" w:cs="宋体"/>
                <w:kern w:val="0"/>
                <w:szCs w:val="21"/>
              </w:rPr>
            </w:pPr>
            <w:r>
              <w:rPr>
                <w:rFonts w:hint="eastAsia" w:ascii="宋体" w:hAnsi="宋体" w:cs="宋体"/>
                <w:kern w:val="0"/>
                <w:szCs w:val="21"/>
              </w:rPr>
              <w:t>G=E-F</w:t>
            </w:r>
          </w:p>
        </w:tc>
        <w:tc>
          <w:tcPr>
            <w:tcW w:w="2422" w:type="dxa"/>
            <w:shd w:val="clear" w:color="auto" w:fill="auto"/>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cs="宋体"/>
                <w:i w:val="0"/>
                <w:iCs w:val="0"/>
                <w:color w:val="000000"/>
                <w:kern w:val="0"/>
                <w:sz w:val="21"/>
                <w:szCs w:val="21"/>
                <w:u w:val="none"/>
                <w:lang w:val="en-US" w:eastAsia="zh-CN" w:bidi="ar"/>
              </w:rPr>
              <w:t>0.00</w:t>
            </w:r>
          </w:p>
        </w:tc>
      </w:tr>
    </w:tbl>
    <w:p>
      <w:pPr>
        <w:pStyle w:val="3"/>
        <w:spacing w:before="156" w:beforeLines="50" w:line="360" w:lineRule="auto"/>
        <w:ind w:left="0" w:firstLine="542" w:firstLineChars="200"/>
        <w:rPr>
          <w:rFonts w:ascii="Times New Roman" w:hAnsi="Times New Roman" w:cs="Times New Roman"/>
        </w:rPr>
      </w:pPr>
      <w:r>
        <w:rPr>
          <w:rFonts w:ascii="Times New Roman" w:hAnsi="Times New Roman" w:cs="Times New Roman"/>
        </w:rPr>
        <w:t>二、募集资金存放和管理情况</w:t>
      </w:r>
    </w:p>
    <w:p>
      <w:pPr>
        <w:pStyle w:val="4"/>
        <w:spacing w:before="156" w:beforeLines="50" w:after="0" w:line="360" w:lineRule="auto"/>
        <w:ind w:firstLine="482" w:firstLineChars="200"/>
        <w:rPr>
          <w:rFonts w:ascii="Times New Roman" w:hAnsi="Times New Roman" w:cs="Times New Roman"/>
          <w:sz w:val="24"/>
          <w:szCs w:val="24"/>
        </w:rPr>
      </w:pPr>
      <w:r>
        <w:rPr>
          <w:rFonts w:ascii="Times New Roman" w:hAnsi="Times New Roman" w:cs="Times New Roman"/>
          <w:sz w:val="24"/>
          <w:szCs w:val="24"/>
        </w:rPr>
        <w:t>（一）募集资金管理情况</w:t>
      </w:r>
    </w:p>
    <w:p>
      <w:pPr>
        <w:pStyle w:val="7"/>
        <w:autoSpaceDE/>
        <w:autoSpaceDN/>
        <w:spacing w:before="156" w:beforeLines="50" w:line="360" w:lineRule="auto"/>
        <w:ind w:left="0" w:firstLine="480" w:firstLineChars="200"/>
        <w:jc w:val="both"/>
        <w:rPr>
          <w:rFonts w:ascii="Times New Roman" w:hAnsi="Times New Roman" w:cs="Times New Roman"/>
        </w:rPr>
      </w:pPr>
      <w:r>
        <w:rPr>
          <w:rFonts w:hint="eastAsia" w:ascii="Times New Roman" w:hAnsi="Times New Roman" w:cs="Times New Roman"/>
        </w:rPr>
        <w:t>为了规范募集资金的管理和使用，提高资金使用效率和效益，保护投资者权益，本公司按照《中华人民共和国公司法》《中华人民共和国证券法》《上市公司监管指引第2号——上市公司募集资金管理和使用的监管要求（2022年修订）》（证监会公告〔2022〕15号）和《深圳证券交易所上市公司自律监管指引第1号——主板上市公司规范运作（2023年12月修订）》（深证上〔2023〕1145号）等有关法律、法规和规范性文件的规定，结合公司实际情况，制定了《德华兔宝宝装饰新材股份有限公司募集资金管理办法》（以下简称《管理办法》）。根据《管理办法》，本公司对募集资金实行专户存储，在银行设立募集资金专户，并连同保荐机构中信建投证券股份有限公司于2023年3月13日与中国工商银行有限公司德清支行签订了《募集资金三方监管协议》，明确了各方的权利和义务。三方监管协议与深圳证券交易所三方监管协议范本不存在重大差异，本公司在使用募集资金时已经严格遵照履行。</w:t>
      </w:r>
    </w:p>
    <w:p>
      <w:pPr>
        <w:pStyle w:val="4"/>
        <w:spacing w:before="156" w:beforeLines="50" w:after="0" w:line="360" w:lineRule="auto"/>
        <w:ind w:firstLine="482" w:firstLineChars="200"/>
        <w:rPr>
          <w:rFonts w:ascii="Times New Roman" w:hAnsi="Times New Roman" w:cs="Times New Roman"/>
        </w:rPr>
      </w:pPr>
      <w:r>
        <w:rPr>
          <w:rFonts w:ascii="Times New Roman" w:hAnsi="Times New Roman" w:cs="Times New Roman"/>
          <w:sz w:val="24"/>
          <w:szCs w:val="24"/>
        </w:rPr>
        <w:t>（二）募集资金专户</w:t>
      </w:r>
      <w:r>
        <w:rPr>
          <w:rFonts w:hint="eastAsia" w:ascii="Times New Roman" w:hAnsi="Times New Roman" w:cs="Times New Roman"/>
          <w:sz w:val="24"/>
          <w:szCs w:val="24"/>
          <w:lang w:val="en-US" w:eastAsia="zh-CN"/>
        </w:rPr>
        <w:t>存储</w:t>
      </w:r>
      <w:r>
        <w:rPr>
          <w:rFonts w:ascii="Times New Roman" w:hAnsi="Times New Roman" w:cs="Times New Roman"/>
          <w:sz w:val="24"/>
          <w:szCs w:val="24"/>
        </w:rPr>
        <w:t>情况</w:t>
      </w:r>
    </w:p>
    <w:p>
      <w:pPr>
        <w:pStyle w:val="7"/>
        <w:autoSpaceDE/>
        <w:autoSpaceDN/>
        <w:spacing w:before="156" w:beforeLines="50" w:line="360" w:lineRule="auto"/>
        <w:ind w:left="0" w:firstLine="480" w:firstLineChars="200"/>
        <w:jc w:val="both"/>
        <w:rPr>
          <w:rFonts w:ascii="Times New Roman" w:hAnsi="Times New Roman" w:cs="Times New Roman"/>
        </w:rPr>
      </w:pPr>
      <w:r>
        <w:rPr>
          <w:rFonts w:hint="eastAsia" w:ascii="Times New Roman" w:hAnsi="Times New Roman" w:cs="Times New Roman"/>
        </w:rPr>
        <w:t>本公司共有1个募集资金专户，2023年已全额使用募集资金人民币459,804,693.84元，并于2023年10月19日注销募集资金专户，截至2023年12月31日，公司已无募集资金。</w:t>
      </w:r>
    </w:p>
    <w:p>
      <w:pPr>
        <w:pStyle w:val="3"/>
        <w:spacing w:before="156" w:beforeLines="50" w:line="360" w:lineRule="auto"/>
        <w:ind w:left="0" w:firstLine="542" w:firstLineChars="200"/>
        <w:rPr>
          <w:rFonts w:ascii="Times New Roman" w:hAnsi="Times New Roman" w:cs="Times New Roman"/>
        </w:rPr>
      </w:pPr>
      <w:r>
        <w:rPr>
          <w:rFonts w:ascii="Times New Roman" w:hAnsi="Times New Roman" w:cs="Times New Roman"/>
        </w:rPr>
        <w:t>三、报告期募集资金的实际使用情况</w:t>
      </w:r>
    </w:p>
    <w:p>
      <w:pPr>
        <w:pStyle w:val="7"/>
        <w:autoSpaceDE/>
        <w:autoSpaceDN/>
        <w:spacing w:before="156" w:beforeLines="50" w:line="360" w:lineRule="auto"/>
        <w:ind w:left="0" w:firstLine="480" w:firstLineChars="200"/>
        <w:jc w:val="both"/>
        <w:rPr>
          <w:rFonts w:ascii="Times New Roman" w:hAnsi="Times New Roman" w:cs="Times New Roman"/>
        </w:rPr>
      </w:pPr>
      <w:r>
        <w:rPr>
          <w:rFonts w:hint="eastAsia" w:ascii="Times New Roman" w:hAnsi="Times New Roman" w:cs="Times New Roman"/>
        </w:rPr>
        <w:t>(一)</w:t>
      </w:r>
      <w:r>
        <w:rPr>
          <w:rFonts w:hint="eastAsia" w:ascii="Times New Roman" w:hAnsi="Times New Roman" w:cs="Times New Roman"/>
          <w:lang w:val="en-US" w:eastAsia="zh-CN"/>
        </w:rPr>
        <w:t xml:space="preserve"> </w:t>
      </w:r>
      <w:r>
        <w:rPr>
          <w:rFonts w:ascii="Times New Roman" w:hAnsi="Times New Roman" w:cs="Times New Roman"/>
        </w:rPr>
        <w:t>募集资金使用情况对照表</w:t>
      </w:r>
    </w:p>
    <w:p>
      <w:pPr>
        <w:pStyle w:val="7"/>
        <w:autoSpaceDE/>
        <w:autoSpaceDN/>
        <w:spacing w:before="156" w:beforeLines="50" w:line="360" w:lineRule="auto"/>
        <w:ind w:left="0" w:firstLine="480" w:firstLineChars="200"/>
        <w:jc w:val="both"/>
        <w:rPr>
          <w:rFonts w:ascii="Times New Roman" w:hAnsi="Times New Roman" w:cs="Times New Roman"/>
        </w:rPr>
      </w:pPr>
      <w:r>
        <w:rPr>
          <w:rFonts w:hint="eastAsia" w:ascii="Times New Roman" w:hAnsi="Times New Roman" w:cs="Times New Roman"/>
        </w:rPr>
        <w:t>1.</w:t>
      </w:r>
      <w:r>
        <w:rPr>
          <w:rFonts w:hint="eastAsia" w:ascii="Times New Roman" w:hAnsi="Times New Roman" w:cs="Times New Roman"/>
          <w:lang w:val="en-US" w:eastAsia="zh-CN"/>
        </w:rPr>
        <w:t xml:space="preserve"> </w:t>
      </w:r>
      <w:r>
        <w:rPr>
          <w:rFonts w:ascii="Times New Roman" w:hAnsi="Times New Roman" w:cs="Times New Roman"/>
        </w:rPr>
        <w:t>募集资金使用情况对照表</w:t>
      </w:r>
      <w:r>
        <w:rPr>
          <w:rFonts w:hint="eastAsia" w:ascii="Times New Roman" w:hAnsi="Times New Roman" w:cs="Times New Roman"/>
        </w:rPr>
        <w:t>详见本报告</w:t>
      </w:r>
      <w:r>
        <w:rPr>
          <w:rFonts w:ascii="Times New Roman" w:hAnsi="Times New Roman" w:cs="Times New Roman"/>
        </w:rPr>
        <w:t>附表《2023年年度募集资金使用情况对照表》</w:t>
      </w:r>
      <w:r>
        <w:rPr>
          <w:rFonts w:hint="eastAsia" w:ascii="Times New Roman" w:hAnsi="Times New Roman" w:cs="Times New Roman"/>
        </w:rPr>
        <w:t>。</w:t>
      </w:r>
    </w:p>
    <w:p>
      <w:pPr>
        <w:pStyle w:val="7"/>
        <w:autoSpaceDE/>
        <w:autoSpaceDN/>
        <w:spacing w:before="156" w:beforeLines="50" w:line="360" w:lineRule="auto"/>
        <w:ind w:left="0" w:firstLine="480" w:firstLineChars="200"/>
        <w:jc w:val="both"/>
        <w:rPr>
          <w:rFonts w:hint="eastAsia" w:ascii="Times New Roman" w:hAnsi="Times New Roman" w:cs="Times New Roman"/>
        </w:rPr>
      </w:pPr>
      <w:r>
        <w:rPr>
          <w:rFonts w:hint="eastAsia" w:ascii="Times New Roman" w:hAnsi="Times New Roman" w:cs="Times New Roman"/>
        </w:rPr>
        <w:t>2.</w:t>
      </w:r>
      <w:r>
        <w:rPr>
          <w:rFonts w:hint="eastAsia" w:ascii="Times New Roman" w:hAnsi="Times New Roman" w:cs="Times New Roman"/>
          <w:lang w:val="en-US" w:eastAsia="zh-CN"/>
        </w:rPr>
        <w:t xml:space="preserve"> </w:t>
      </w:r>
      <w:r>
        <w:rPr>
          <w:rFonts w:hint="eastAsia" w:ascii="Times New Roman" w:hAnsi="Times New Roman" w:cs="Times New Roman"/>
        </w:rPr>
        <w:t>本期超额募集资金的使用情况</w:t>
      </w:r>
    </w:p>
    <w:p>
      <w:pPr>
        <w:pStyle w:val="7"/>
        <w:autoSpaceDE/>
        <w:autoSpaceDN/>
        <w:spacing w:before="156" w:beforeLines="50" w:line="360" w:lineRule="auto"/>
        <w:ind w:left="0" w:firstLine="480" w:firstLineChars="200"/>
        <w:jc w:val="both"/>
        <w:rPr>
          <w:rFonts w:hint="eastAsia" w:ascii="Times New Roman" w:hAnsi="Times New Roman" w:cs="Times New Roman"/>
        </w:rPr>
      </w:pPr>
      <w:r>
        <w:rPr>
          <w:rFonts w:hint="eastAsia" w:ascii="Times New Roman" w:hAnsi="Times New Roman" w:cs="Times New Roman"/>
        </w:rPr>
        <w:t>报告期内，本公司不存在超额募集资金的情况。</w:t>
      </w:r>
    </w:p>
    <w:p>
      <w:pPr>
        <w:pStyle w:val="7"/>
        <w:autoSpaceDE/>
        <w:autoSpaceDN/>
        <w:spacing w:before="156" w:beforeLines="50" w:line="360" w:lineRule="auto"/>
        <w:ind w:left="0" w:firstLine="480" w:firstLineChars="200"/>
        <w:jc w:val="both"/>
        <w:rPr>
          <w:rFonts w:hint="default" w:ascii="Times New Roman" w:hAnsi="Times New Roman" w:cs="Times New Roman"/>
          <w:lang w:val="en-US" w:eastAsia="zh-CN"/>
        </w:rPr>
      </w:pPr>
      <w:r>
        <w:rPr>
          <w:rFonts w:hint="eastAsia" w:ascii="Times New Roman" w:hAnsi="Times New Roman" w:cs="Times New Roman"/>
          <w:lang w:val="en-US" w:eastAsia="zh-CN"/>
        </w:rPr>
        <w:t>3.</w:t>
      </w:r>
      <w:r>
        <w:rPr>
          <w:rFonts w:hint="default" w:ascii="Times New Roman" w:hAnsi="Times New Roman" w:cs="Times New Roman"/>
          <w:lang w:val="en-US" w:eastAsia="zh-CN"/>
        </w:rPr>
        <w:t>募集资金投资项目先期投入及置换情况</w:t>
      </w:r>
    </w:p>
    <w:p>
      <w:pPr>
        <w:pStyle w:val="7"/>
        <w:autoSpaceDE/>
        <w:autoSpaceDN/>
        <w:spacing w:before="156" w:beforeLines="50" w:line="360" w:lineRule="auto"/>
        <w:ind w:left="0" w:firstLine="480" w:firstLineChars="200"/>
        <w:jc w:val="both"/>
        <w:rPr>
          <w:rFonts w:hint="default" w:ascii="Times New Roman" w:hAnsi="Times New Roman" w:cs="Times New Roman"/>
          <w:lang w:val="en-US" w:eastAsia="zh-CN"/>
        </w:rPr>
      </w:pPr>
      <w:r>
        <w:rPr>
          <w:rFonts w:hint="eastAsia" w:ascii="Times New Roman" w:hAnsi="Times New Roman" w:cs="Times New Roman"/>
        </w:rPr>
        <w:t>报告期内，本公司不存在募集资金投资项目先期投入及置换</w:t>
      </w:r>
      <w:r>
        <w:rPr>
          <w:rFonts w:hint="eastAsia" w:ascii="Times New Roman" w:hAnsi="Times New Roman" w:cs="Times New Roman"/>
          <w:lang w:val="en-US" w:eastAsia="zh-CN"/>
        </w:rPr>
        <w:t>的</w:t>
      </w:r>
      <w:r>
        <w:rPr>
          <w:rFonts w:hint="eastAsia" w:ascii="Times New Roman" w:hAnsi="Times New Roman" w:cs="Times New Roman"/>
        </w:rPr>
        <w:t>情况。</w:t>
      </w:r>
    </w:p>
    <w:p>
      <w:pPr>
        <w:pStyle w:val="7"/>
        <w:autoSpaceDE/>
        <w:autoSpaceDN/>
        <w:spacing w:before="156" w:beforeLines="50" w:line="360" w:lineRule="auto"/>
        <w:ind w:left="0" w:firstLine="480" w:firstLineChars="200"/>
        <w:jc w:val="both"/>
        <w:rPr>
          <w:rFonts w:ascii="Times New Roman" w:hAnsi="Times New Roman"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二</w:t>
      </w:r>
      <w:r>
        <w:rPr>
          <w:rFonts w:hint="eastAsia" w:ascii="Times New Roman" w:hAnsi="Times New Roman" w:cs="Times New Roman"/>
          <w:lang w:eastAsia="zh-CN"/>
        </w:rPr>
        <w:t>）</w:t>
      </w:r>
      <w:r>
        <w:rPr>
          <w:rFonts w:hint="eastAsia" w:ascii="Times New Roman" w:hAnsi="Times New Roman" w:cs="Times New Roman"/>
        </w:rPr>
        <w:t>募集资金投资项目出现异常情况的说明</w:t>
      </w:r>
    </w:p>
    <w:p>
      <w:pPr>
        <w:pStyle w:val="7"/>
        <w:autoSpaceDE/>
        <w:autoSpaceDN/>
        <w:spacing w:before="156" w:beforeLines="50" w:line="360" w:lineRule="auto"/>
        <w:ind w:left="0" w:firstLine="480" w:firstLineChars="200"/>
        <w:jc w:val="both"/>
        <w:rPr>
          <w:rFonts w:ascii="Times New Roman" w:hAnsi="Times New Roman" w:cs="Times New Roman"/>
        </w:rPr>
      </w:pPr>
      <w:r>
        <w:rPr>
          <w:rFonts w:hint="eastAsia" w:ascii="Times New Roman" w:hAnsi="Times New Roman" w:cs="Times New Roman"/>
        </w:rPr>
        <w:t>报告期内</w:t>
      </w:r>
      <w:r>
        <w:rPr>
          <w:rFonts w:hint="eastAsia" w:ascii="Times New Roman" w:hAnsi="Times New Roman" w:cs="Times New Roman"/>
          <w:lang w:val="en-US" w:eastAsia="zh-CN"/>
        </w:rPr>
        <w:t>,</w:t>
      </w:r>
      <w:r>
        <w:rPr>
          <w:rFonts w:hint="eastAsia" w:ascii="Times New Roman" w:hAnsi="Times New Roman" w:cs="Times New Roman"/>
        </w:rPr>
        <w:t>本公司募集资金投资项目未出现异常情况。</w:t>
      </w:r>
    </w:p>
    <w:p>
      <w:pPr>
        <w:pStyle w:val="7"/>
        <w:autoSpaceDE/>
        <w:autoSpaceDN/>
        <w:spacing w:before="156" w:beforeLines="50" w:line="360" w:lineRule="auto"/>
        <w:ind w:left="0" w:firstLine="480" w:firstLineChars="200"/>
        <w:jc w:val="both"/>
        <w:rPr>
          <w:rFonts w:ascii="Times New Roman" w:hAnsi="Times New Roman"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三</w:t>
      </w:r>
      <w:r>
        <w:rPr>
          <w:rFonts w:hint="eastAsia" w:ascii="Times New Roman" w:hAnsi="Times New Roman" w:cs="Times New Roman"/>
          <w:lang w:eastAsia="zh-CN"/>
        </w:rPr>
        <w:t>）</w:t>
      </w:r>
      <w:r>
        <w:rPr>
          <w:rFonts w:hint="eastAsia" w:ascii="Times New Roman" w:hAnsi="Times New Roman" w:cs="Times New Roman"/>
        </w:rPr>
        <w:t>募集资金投资项目无法单独核算效益的情况说明</w:t>
      </w:r>
    </w:p>
    <w:p>
      <w:pPr>
        <w:pStyle w:val="7"/>
        <w:autoSpaceDE/>
        <w:autoSpaceDN/>
        <w:spacing w:before="156" w:beforeLines="50" w:line="360" w:lineRule="auto"/>
        <w:ind w:left="0" w:firstLine="480" w:firstLineChars="200"/>
        <w:jc w:val="both"/>
        <w:rPr>
          <w:rFonts w:hint="eastAsia" w:ascii="Times New Roman" w:hAnsi="Times New Roman" w:cs="Times New Roman"/>
        </w:rPr>
      </w:pPr>
      <w:r>
        <w:rPr>
          <w:rFonts w:ascii="Times New Roman" w:hAnsi="Times New Roman" w:cs="Times New Roman"/>
        </w:rPr>
        <w:t>偿还银行贷款和补充流动资金项目系为公司经营活动提供可靠的现金流</w:t>
      </w:r>
      <w:r>
        <w:rPr>
          <w:rFonts w:hint="eastAsia" w:ascii="Times New Roman" w:hAnsi="Times New Roman" w:cs="Times New Roman"/>
          <w:lang w:eastAsia="zh-CN"/>
        </w:rPr>
        <w:t>，</w:t>
      </w:r>
      <w:r>
        <w:rPr>
          <w:rFonts w:ascii="Times New Roman" w:hAnsi="Times New Roman" w:cs="Times New Roman"/>
        </w:rPr>
        <w:t>为公司发展提供资金支持</w:t>
      </w:r>
      <w:r>
        <w:rPr>
          <w:rFonts w:hint="eastAsia" w:ascii="Times New Roman" w:hAnsi="Times New Roman" w:cs="Times New Roman"/>
          <w:lang w:eastAsia="zh-CN"/>
        </w:rPr>
        <w:t>，</w:t>
      </w:r>
      <w:r>
        <w:rPr>
          <w:rFonts w:ascii="Times New Roman" w:hAnsi="Times New Roman" w:cs="Times New Roman"/>
        </w:rPr>
        <w:t>不直接产生经济效益，无法单独核算其效益。</w:t>
      </w:r>
    </w:p>
    <w:p>
      <w:pPr>
        <w:pStyle w:val="3"/>
        <w:spacing w:before="156" w:beforeLines="50" w:line="360" w:lineRule="auto"/>
        <w:ind w:left="0" w:firstLine="542" w:firstLineChars="200"/>
        <w:rPr>
          <w:rFonts w:ascii="Times New Roman" w:hAnsi="Times New Roman" w:cs="Times New Roman"/>
        </w:rPr>
      </w:pPr>
      <w:r>
        <w:rPr>
          <w:rFonts w:ascii="Times New Roman" w:hAnsi="Times New Roman" w:cs="Times New Roman"/>
        </w:rPr>
        <w:t>四、变更募集资金投资项目的资金使用情况</w:t>
      </w:r>
    </w:p>
    <w:p>
      <w:pPr>
        <w:pStyle w:val="7"/>
        <w:autoSpaceDE/>
        <w:autoSpaceDN/>
        <w:spacing w:before="156" w:beforeLines="50" w:line="360" w:lineRule="auto"/>
        <w:ind w:left="0" w:firstLine="480" w:firstLineChars="200"/>
        <w:jc w:val="both"/>
        <w:rPr>
          <w:rFonts w:ascii="Times New Roman" w:hAnsi="Times New Roman" w:cs="Times New Roman"/>
        </w:rPr>
      </w:pPr>
      <w:r>
        <w:rPr>
          <w:rFonts w:ascii="Times New Roman" w:hAnsi="Times New Roman" w:cs="Times New Roman"/>
        </w:rPr>
        <w:t>报告期内，公司不存在变更募集资金投资项目的资金使用情况。</w:t>
      </w:r>
    </w:p>
    <w:p>
      <w:pPr>
        <w:pStyle w:val="3"/>
        <w:spacing w:before="156" w:beforeLines="50" w:line="360" w:lineRule="auto"/>
        <w:ind w:left="0" w:firstLine="542" w:firstLineChars="200"/>
        <w:rPr>
          <w:rFonts w:ascii="Times New Roman" w:hAnsi="Times New Roman" w:cs="Times New Roman"/>
        </w:rPr>
      </w:pPr>
      <w:r>
        <w:rPr>
          <w:rFonts w:ascii="Times New Roman" w:hAnsi="Times New Roman" w:cs="Times New Roman"/>
        </w:rPr>
        <w:t>五、募集资金使用及披露中存在的问题</w:t>
      </w:r>
    </w:p>
    <w:p>
      <w:pPr>
        <w:pStyle w:val="7"/>
        <w:autoSpaceDE/>
        <w:autoSpaceDN/>
        <w:spacing w:before="156" w:beforeLines="50" w:line="360" w:lineRule="auto"/>
        <w:ind w:left="0" w:firstLine="480" w:firstLineChars="200"/>
        <w:jc w:val="both"/>
        <w:rPr>
          <w:rFonts w:ascii="Times New Roman" w:hAnsi="Times New Roman" w:cs="Times New Roman"/>
        </w:rPr>
      </w:pPr>
      <w:r>
        <w:rPr>
          <w:rFonts w:hint="eastAsia" w:ascii="Times New Roman" w:hAnsi="Times New Roman" w:cs="Times New Roman"/>
        </w:rPr>
        <w:t>报告期内，本公司募集资金使用及披露不存在重大问题。</w:t>
      </w:r>
    </w:p>
    <w:p>
      <w:pPr>
        <w:pStyle w:val="7"/>
        <w:autoSpaceDE/>
        <w:autoSpaceDN/>
        <w:spacing w:before="156" w:beforeLines="50" w:line="360" w:lineRule="auto"/>
        <w:ind w:left="0" w:firstLine="480" w:firstLineChars="200"/>
        <w:jc w:val="both"/>
        <w:rPr>
          <w:rFonts w:ascii="Times New Roman" w:hAnsi="Times New Roman" w:cs="Times New Roman"/>
        </w:rPr>
      </w:pPr>
      <w:r>
        <w:rPr>
          <w:rFonts w:ascii="Times New Roman" w:hAnsi="Times New Roman" w:cs="Times New Roman"/>
        </w:rPr>
        <w:t>特此公告。</w:t>
      </w:r>
    </w:p>
    <w:p>
      <w:pPr>
        <w:pStyle w:val="7"/>
        <w:autoSpaceDE/>
        <w:autoSpaceDN/>
        <w:spacing w:before="156" w:beforeLines="50" w:line="360" w:lineRule="auto"/>
        <w:ind w:left="0" w:firstLine="480" w:firstLineChars="200"/>
        <w:jc w:val="both"/>
        <w:rPr>
          <w:rFonts w:ascii="Times New Roman" w:hAnsi="Times New Roman" w:cs="Times New Roman"/>
        </w:rPr>
      </w:pPr>
    </w:p>
    <w:p>
      <w:pPr>
        <w:pStyle w:val="7"/>
        <w:autoSpaceDE/>
        <w:autoSpaceDN/>
        <w:spacing w:before="156" w:beforeLines="50" w:line="360" w:lineRule="auto"/>
        <w:ind w:left="0" w:firstLine="480" w:firstLineChars="200"/>
        <w:jc w:val="right"/>
        <w:rPr>
          <w:rFonts w:ascii="Times New Roman" w:hAnsi="Times New Roman" w:cs="Times New Roman"/>
        </w:rPr>
      </w:pPr>
      <w:r>
        <w:rPr>
          <w:rFonts w:ascii="Times New Roman" w:hAnsi="Times New Roman" w:cs="Times New Roman"/>
        </w:rPr>
        <w:t>德华兔宝宝装饰新材股份有限公司董事会</w:t>
      </w:r>
    </w:p>
    <w:p>
      <w:pPr>
        <w:pStyle w:val="7"/>
        <w:autoSpaceDE/>
        <w:autoSpaceDN/>
        <w:spacing w:before="156" w:beforeLines="50" w:line="360" w:lineRule="auto"/>
        <w:ind w:left="0" w:firstLine="480" w:firstLineChars="200"/>
        <w:jc w:val="right"/>
        <w:rPr>
          <w:rFonts w:ascii="Times New Roman" w:hAnsi="Times New Roman" w:cs="Times New Roman"/>
        </w:rPr>
      </w:pPr>
      <w:r>
        <w:rPr>
          <w:rFonts w:ascii="Times New Roman" w:hAnsi="Times New Roman" w:cs="Times New Roman"/>
        </w:rPr>
        <w:t>二〇二</w:t>
      </w:r>
      <w:r>
        <w:rPr>
          <w:rFonts w:hint="eastAsia" w:ascii="Times New Roman" w:hAnsi="Times New Roman" w:cs="Times New Roman"/>
          <w:lang w:val="en-US" w:eastAsia="zh-CN"/>
        </w:rPr>
        <w:t>四</w:t>
      </w:r>
      <w:r>
        <w:rPr>
          <w:rFonts w:ascii="Times New Roman" w:hAnsi="Times New Roman" w:cs="Times New Roman"/>
        </w:rPr>
        <w:t>年</w:t>
      </w:r>
      <w:r>
        <w:rPr>
          <w:rFonts w:hint="eastAsia" w:ascii="Times New Roman" w:hAnsi="Times New Roman" w:cs="Times New Roman"/>
          <w:lang w:val="en-US" w:eastAsia="zh-CN"/>
        </w:rPr>
        <w:t>四</w:t>
      </w:r>
      <w:r>
        <w:rPr>
          <w:rFonts w:ascii="Times New Roman" w:hAnsi="Times New Roman" w:cs="Times New Roman"/>
        </w:rPr>
        <w:t>月</w:t>
      </w:r>
      <w:r>
        <w:rPr>
          <w:rFonts w:hint="eastAsia" w:ascii="Times New Roman" w:hAnsi="Times New Roman" w:cs="Times New Roman"/>
          <w:lang w:val="en-US" w:eastAsia="zh-CN"/>
        </w:rPr>
        <w:t>二十五</w:t>
      </w:r>
      <w:r>
        <w:rPr>
          <w:rFonts w:ascii="Times New Roman" w:hAnsi="Times New Roman" w:cs="Times New Roman"/>
        </w:rPr>
        <w:t>日</w:t>
      </w:r>
    </w:p>
    <w:p>
      <w:pPr>
        <w:widowControl/>
        <w:autoSpaceDE/>
        <w:autoSpaceDN/>
        <w:rPr>
          <w:rFonts w:ascii="Times New Roman" w:hAnsi="Times New Roman" w:cs="Times New Roman"/>
          <w:sz w:val="24"/>
          <w:szCs w:val="24"/>
        </w:rPr>
      </w:pPr>
    </w:p>
    <w:p>
      <w:pPr>
        <w:widowControl/>
        <w:autoSpaceDE/>
        <w:autoSpaceDN/>
        <w:rPr>
          <w:rFonts w:ascii="Times New Roman" w:hAnsi="Times New Roman" w:cs="Times New Roman"/>
          <w:sz w:val="24"/>
          <w:szCs w:val="24"/>
        </w:rPr>
        <w:sectPr>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bidi w:val="0"/>
        <w:snapToGrid/>
        <w:spacing w:line="360" w:lineRule="auto"/>
        <w:jc w:val="center"/>
        <w:rPr>
          <w:rFonts w:ascii="黑体" w:hAnsi="宋体" w:eastAsia="黑体" w:cs="宋体"/>
          <w:b/>
          <w:bCs/>
          <w:kern w:val="0"/>
          <w:sz w:val="28"/>
          <w:szCs w:val="28"/>
        </w:rPr>
      </w:pPr>
      <w:r>
        <w:rPr>
          <w:rFonts w:hint="eastAsia" w:ascii="黑体" w:hAnsi="宋体" w:eastAsia="黑体" w:cs="宋体"/>
          <w:b/>
          <w:bCs/>
          <w:kern w:val="0"/>
          <w:sz w:val="28"/>
          <w:szCs w:val="28"/>
        </w:rPr>
        <w:t>募集资金使用情况对照表</w:t>
      </w:r>
    </w:p>
    <w:p>
      <w:pPr>
        <w:keepNext w:val="0"/>
        <w:keepLines w:val="0"/>
        <w:pageBreakBefore w:val="0"/>
        <w:kinsoku/>
        <w:wordWrap/>
        <w:overflowPunct/>
        <w:topLinePunct w:val="0"/>
        <w:bidi w:val="0"/>
        <w:snapToGrid/>
        <w:spacing w:line="360" w:lineRule="auto"/>
        <w:jc w:val="center"/>
        <w:rPr>
          <w:rFonts w:ascii="宋体" w:hAnsi="宋体" w:cs="宋体"/>
          <w:color w:val="000000"/>
          <w:kern w:val="0"/>
          <w:szCs w:val="21"/>
        </w:rPr>
      </w:pPr>
      <w:r>
        <w:rPr>
          <w:rFonts w:hint="eastAsia" w:ascii="宋体" w:hAnsi="宋体" w:cs="宋体"/>
          <w:color w:val="000000"/>
          <w:kern w:val="0"/>
          <w:szCs w:val="21"/>
        </w:rPr>
        <w:t>20</w:t>
      </w:r>
      <w:r>
        <w:rPr>
          <w:rFonts w:hint="eastAsia" w:ascii="宋体" w:hAnsi="宋体"/>
          <w:color w:val="000000"/>
          <w:szCs w:val="21"/>
          <w:lang w:val="en-US" w:eastAsia="zh-CN"/>
        </w:rPr>
        <w:t>23</w:t>
      </w:r>
      <w:r>
        <w:rPr>
          <w:rFonts w:hint="eastAsia" w:ascii="宋体" w:hAnsi="宋体" w:cs="宋体"/>
          <w:color w:val="000000"/>
          <w:kern w:val="0"/>
          <w:szCs w:val="21"/>
        </w:rPr>
        <w:t>年度</w:t>
      </w:r>
    </w:p>
    <w:p>
      <w:pPr>
        <w:keepNext w:val="0"/>
        <w:keepLines w:val="0"/>
        <w:pageBreakBefore w:val="0"/>
        <w:kinsoku/>
        <w:wordWrap/>
        <w:overflowPunct/>
        <w:topLinePunct w:val="0"/>
        <w:bidi w:val="0"/>
        <w:snapToGrid/>
        <w:spacing w:line="360" w:lineRule="auto"/>
        <w:rPr>
          <w:rFonts w:ascii="宋体" w:hAnsi="宋体"/>
          <w:color w:val="000000"/>
          <w:szCs w:val="21"/>
        </w:rPr>
      </w:pPr>
      <w:r>
        <w:rPr>
          <w:rFonts w:hint="eastAsia" w:ascii="宋体" w:hAnsi="宋体" w:cs="宋体"/>
          <w:color w:val="000000"/>
          <w:kern w:val="0"/>
          <w:szCs w:val="21"/>
        </w:rPr>
        <w:t>编制单位：</w:t>
      </w:r>
      <w:r>
        <w:rPr>
          <w:rFonts w:hint="eastAsia" w:ascii="宋体" w:hAnsi="宋体" w:cs="宋体"/>
          <w:color w:val="000000"/>
          <w:kern w:val="0"/>
          <w:szCs w:val="21"/>
          <w:lang w:eastAsia="zh-CN"/>
        </w:rPr>
        <w:t>德华兔宝宝装饰新材股份有限公司</w:t>
      </w: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cs="宋体"/>
          <w:color w:val="000000"/>
          <w:kern w:val="0"/>
          <w:szCs w:val="21"/>
        </w:rPr>
        <w:tab/>
      </w:r>
      <w:r>
        <w:rPr>
          <w:rFonts w:hint="eastAsia" w:ascii="宋体" w:hAnsi="宋体" w:cs="宋体"/>
          <w:color w:val="000000"/>
          <w:kern w:val="0"/>
          <w:szCs w:val="21"/>
        </w:rPr>
        <w:t>金额单位：人民币元</w:t>
      </w:r>
    </w:p>
    <w:tbl>
      <w:tblPr>
        <w:tblStyle w:val="14"/>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64"/>
        <w:gridCol w:w="2"/>
        <w:gridCol w:w="961"/>
        <w:gridCol w:w="1485"/>
        <w:gridCol w:w="1477"/>
        <w:gridCol w:w="1477"/>
        <w:gridCol w:w="1476"/>
        <w:gridCol w:w="1239"/>
        <w:gridCol w:w="1400"/>
        <w:gridCol w:w="1055"/>
        <w:gridCol w:w="893"/>
        <w:gridCol w:w="114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416" w:type="pct"/>
            <w:gridSpan w:val="4"/>
            <w:shd w:val="clear" w:color="auto" w:fill="auto"/>
            <w:vAlign w:val="center"/>
          </w:tcPr>
          <w:p>
            <w:pPr>
              <w:keepNext w:val="0"/>
              <w:keepLines w:val="0"/>
              <w:pageBreakBefore w:val="0"/>
              <w:kinsoku/>
              <w:wordWrap/>
              <w:overflowPunct/>
              <w:topLinePunct w:val="0"/>
              <w:bidi w:val="0"/>
              <w:adjustRightInd w:val="0"/>
              <w:snapToGrid/>
              <w:jc w:val="left"/>
              <w:rPr>
                <w:rFonts w:ascii="宋体" w:hAnsi="宋体" w:cs="宋体"/>
                <w:kern w:val="0"/>
                <w:sz w:val="18"/>
                <w:szCs w:val="18"/>
              </w:rPr>
            </w:pPr>
            <w:r>
              <w:rPr>
                <w:rFonts w:hint="eastAsia" w:ascii="宋体" w:hAnsi="宋体" w:cs="宋体"/>
                <w:kern w:val="0"/>
                <w:sz w:val="18"/>
                <w:szCs w:val="18"/>
              </w:rPr>
              <w:t>募集资金总额</w:t>
            </w:r>
          </w:p>
        </w:tc>
        <w:tc>
          <w:tcPr>
            <w:tcW w:w="1042" w:type="pct"/>
            <w:gridSpan w:val="2"/>
            <w:shd w:val="clear" w:color="auto" w:fill="auto"/>
            <w:vAlign w:val="center"/>
          </w:tcPr>
          <w:p>
            <w:pPr>
              <w:keepNext w:val="0"/>
              <w:keepLines w:val="0"/>
              <w:pageBreakBefore w:val="0"/>
              <w:kinsoku/>
              <w:wordWrap/>
              <w:overflowPunct/>
              <w:topLinePunct w:val="0"/>
              <w:bidi w:val="0"/>
              <w:adjustRightInd w:val="0"/>
              <w:snapToGrid/>
              <w:jc w:val="right"/>
              <w:rPr>
                <w:rFonts w:ascii="宋体" w:hAnsi="宋体" w:cs="宋体"/>
                <w:kern w:val="0"/>
                <w:sz w:val="18"/>
                <w:szCs w:val="18"/>
              </w:rPr>
            </w:pPr>
            <w:r>
              <w:rPr>
                <w:rFonts w:hint="default" w:ascii="宋体" w:hAnsi="宋体" w:cs="宋体"/>
                <w:kern w:val="0"/>
                <w:sz w:val="18"/>
                <w:szCs w:val="18"/>
                <w:lang w:val="en-US" w:eastAsia="zh-CN"/>
              </w:rPr>
              <w:t>459,804,693.84</w:t>
            </w:r>
            <w:r>
              <w:rPr>
                <w:rFonts w:hint="eastAsia" w:ascii="宋体" w:hAnsi="宋体" w:cs="宋体"/>
                <w:kern w:val="0"/>
                <w:sz w:val="18"/>
                <w:szCs w:val="18"/>
                <w:lang w:val="en-US" w:eastAsia="zh-CN"/>
              </w:rPr>
              <w:t>[注1]</w:t>
            </w:r>
          </w:p>
        </w:tc>
        <w:tc>
          <w:tcPr>
            <w:tcW w:w="957" w:type="pct"/>
            <w:gridSpan w:val="2"/>
            <w:shd w:val="clear" w:color="auto" w:fill="auto"/>
            <w:vAlign w:val="center"/>
          </w:tcPr>
          <w:p>
            <w:pPr>
              <w:keepNext w:val="0"/>
              <w:keepLines w:val="0"/>
              <w:pageBreakBefore w:val="0"/>
              <w:kinsoku/>
              <w:wordWrap/>
              <w:overflowPunct/>
              <w:topLinePunct w:val="0"/>
              <w:bidi w:val="0"/>
              <w:adjustRightInd w:val="0"/>
              <w:snapToGrid/>
              <w:rPr>
                <w:rFonts w:ascii="宋体" w:hAnsi="宋体" w:cs="宋体"/>
                <w:kern w:val="0"/>
                <w:sz w:val="18"/>
                <w:szCs w:val="18"/>
              </w:rPr>
            </w:pPr>
            <w:r>
              <w:rPr>
                <w:rFonts w:hint="eastAsia" w:ascii="宋体" w:hAnsi="宋体" w:cs="宋体"/>
                <w:kern w:val="0"/>
                <w:sz w:val="18"/>
                <w:szCs w:val="18"/>
              </w:rPr>
              <w:t>本年度投入募集资金总额</w:t>
            </w:r>
          </w:p>
        </w:tc>
        <w:tc>
          <w:tcPr>
            <w:tcW w:w="1583" w:type="pct"/>
            <w:gridSpan w:val="4"/>
            <w:shd w:val="clear" w:color="auto" w:fill="auto"/>
            <w:vAlign w:val="center"/>
          </w:tcPr>
          <w:p>
            <w:pPr>
              <w:keepNext w:val="0"/>
              <w:keepLines w:val="0"/>
              <w:pageBreakBefore w:val="0"/>
              <w:kinsoku/>
              <w:wordWrap/>
              <w:overflowPunct/>
              <w:topLinePunct w:val="0"/>
              <w:bidi w:val="0"/>
              <w:adjustRightInd w:val="0"/>
              <w:snapToGrid/>
              <w:jc w:val="right"/>
              <w:rPr>
                <w:rFonts w:ascii="宋体" w:hAnsi="宋体" w:cs="宋体"/>
                <w:kern w:val="0"/>
                <w:sz w:val="18"/>
                <w:szCs w:val="18"/>
              </w:rPr>
            </w:pPr>
            <w:r>
              <w:rPr>
                <w:rFonts w:hint="default" w:ascii="宋体" w:hAnsi="宋体" w:cs="宋体"/>
                <w:kern w:val="0"/>
                <w:sz w:val="18"/>
                <w:szCs w:val="18"/>
                <w:lang w:val="en-US" w:eastAsia="zh-CN"/>
              </w:rPr>
              <w:t>459,804,693.84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416" w:type="pct"/>
            <w:gridSpan w:val="4"/>
            <w:shd w:val="clear" w:color="auto" w:fill="auto"/>
            <w:vAlign w:val="center"/>
          </w:tcPr>
          <w:p>
            <w:pPr>
              <w:keepNext w:val="0"/>
              <w:keepLines w:val="0"/>
              <w:pageBreakBefore w:val="0"/>
              <w:kinsoku/>
              <w:wordWrap/>
              <w:overflowPunct/>
              <w:topLinePunct w:val="0"/>
              <w:bidi w:val="0"/>
              <w:adjustRightInd w:val="0"/>
              <w:snapToGrid/>
              <w:jc w:val="left"/>
              <w:rPr>
                <w:rFonts w:ascii="宋体" w:hAnsi="宋体" w:cs="宋体"/>
                <w:kern w:val="0"/>
                <w:sz w:val="18"/>
                <w:szCs w:val="18"/>
              </w:rPr>
            </w:pPr>
            <w:r>
              <w:rPr>
                <w:rFonts w:hint="eastAsia" w:ascii="宋体" w:hAnsi="宋体" w:cs="宋体"/>
                <w:kern w:val="0"/>
                <w:sz w:val="18"/>
                <w:szCs w:val="18"/>
              </w:rPr>
              <w:t>报告期内变更用途的募集资金总额</w:t>
            </w:r>
          </w:p>
        </w:tc>
        <w:tc>
          <w:tcPr>
            <w:tcW w:w="1042" w:type="pct"/>
            <w:gridSpan w:val="2"/>
            <w:shd w:val="clear" w:color="auto" w:fill="auto"/>
            <w:vAlign w:val="center"/>
          </w:tcPr>
          <w:p>
            <w:pPr>
              <w:keepNext w:val="0"/>
              <w:keepLines w:val="0"/>
              <w:pageBreakBefore w:val="0"/>
              <w:kinsoku/>
              <w:wordWrap/>
              <w:overflowPunct/>
              <w:topLinePunct w:val="0"/>
              <w:bidi w:val="0"/>
              <w:adjustRightInd w:val="0"/>
              <w:snapToGrid/>
              <w:jc w:val="righ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0.00</w:t>
            </w:r>
          </w:p>
        </w:tc>
        <w:tc>
          <w:tcPr>
            <w:tcW w:w="957" w:type="pct"/>
            <w:gridSpan w:val="2"/>
            <w:vMerge w:val="restart"/>
            <w:shd w:val="clear" w:color="auto" w:fill="auto"/>
            <w:vAlign w:val="center"/>
          </w:tcPr>
          <w:p>
            <w:pPr>
              <w:keepNext w:val="0"/>
              <w:keepLines w:val="0"/>
              <w:pageBreakBefore w:val="0"/>
              <w:kinsoku/>
              <w:wordWrap/>
              <w:overflowPunct/>
              <w:topLinePunct w:val="0"/>
              <w:bidi w:val="0"/>
              <w:adjustRightInd w:val="0"/>
              <w:snapToGrid/>
              <w:jc w:val="left"/>
              <w:rPr>
                <w:rFonts w:ascii="宋体" w:hAnsi="宋体" w:cs="宋体"/>
                <w:kern w:val="0"/>
                <w:sz w:val="18"/>
                <w:szCs w:val="18"/>
              </w:rPr>
            </w:pPr>
            <w:r>
              <w:rPr>
                <w:rFonts w:hint="eastAsia" w:ascii="宋体" w:hAnsi="宋体" w:cs="宋体"/>
                <w:kern w:val="0"/>
                <w:sz w:val="18"/>
                <w:szCs w:val="18"/>
              </w:rPr>
              <w:t>已累计投入募集资金总额</w:t>
            </w:r>
          </w:p>
        </w:tc>
        <w:tc>
          <w:tcPr>
            <w:tcW w:w="1583" w:type="pct"/>
            <w:gridSpan w:val="4"/>
            <w:vMerge w:val="restart"/>
            <w:shd w:val="clear" w:color="auto" w:fill="auto"/>
            <w:vAlign w:val="center"/>
          </w:tcPr>
          <w:p>
            <w:pPr>
              <w:keepNext w:val="0"/>
              <w:keepLines w:val="0"/>
              <w:pageBreakBefore w:val="0"/>
              <w:kinsoku/>
              <w:wordWrap/>
              <w:overflowPunct/>
              <w:topLinePunct w:val="0"/>
              <w:bidi w:val="0"/>
              <w:adjustRightInd w:val="0"/>
              <w:snapToGrid/>
              <w:jc w:val="right"/>
              <w:rPr>
                <w:rFonts w:ascii="宋体" w:hAnsi="宋体" w:cs="宋体"/>
                <w:kern w:val="0"/>
                <w:sz w:val="18"/>
                <w:szCs w:val="18"/>
              </w:rPr>
            </w:pPr>
            <w:r>
              <w:rPr>
                <w:rFonts w:hint="default" w:ascii="宋体" w:hAnsi="宋体" w:cs="宋体"/>
                <w:kern w:val="0"/>
                <w:sz w:val="18"/>
                <w:szCs w:val="18"/>
                <w:lang w:val="en-US" w:eastAsia="zh-CN"/>
              </w:rPr>
              <w:t>459,804,693.84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416" w:type="pct"/>
            <w:gridSpan w:val="4"/>
            <w:shd w:val="clear" w:color="auto" w:fill="auto"/>
            <w:vAlign w:val="center"/>
          </w:tcPr>
          <w:p>
            <w:pPr>
              <w:keepNext w:val="0"/>
              <w:keepLines w:val="0"/>
              <w:pageBreakBefore w:val="0"/>
              <w:kinsoku/>
              <w:wordWrap/>
              <w:overflowPunct/>
              <w:topLinePunct w:val="0"/>
              <w:bidi w:val="0"/>
              <w:adjustRightInd w:val="0"/>
              <w:snapToGrid/>
              <w:jc w:val="left"/>
              <w:rPr>
                <w:rFonts w:ascii="宋体" w:hAnsi="宋体" w:cs="宋体"/>
                <w:kern w:val="0"/>
                <w:sz w:val="18"/>
                <w:szCs w:val="18"/>
              </w:rPr>
            </w:pPr>
            <w:r>
              <w:rPr>
                <w:rFonts w:hint="eastAsia" w:ascii="宋体" w:hAnsi="宋体" w:cs="宋体"/>
                <w:kern w:val="0"/>
                <w:sz w:val="18"/>
                <w:szCs w:val="18"/>
              </w:rPr>
              <w:t>累计变更用途的募集资金总额</w:t>
            </w:r>
          </w:p>
        </w:tc>
        <w:tc>
          <w:tcPr>
            <w:tcW w:w="1042" w:type="pct"/>
            <w:gridSpan w:val="2"/>
            <w:shd w:val="clear" w:color="auto" w:fill="auto"/>
            <w:vAlign w:val="center"/>
          </w:tcPr>
          <w:p>
            <w:pPr>
              <w:keepNext w:val="0"/>
              <w:keepLines w:val="0"/>
              <w:pageBreakBefore w:val="0"/>
              <w:kinsoku/>
              <w:wordWrap/>
              <w:overflowPunct/>
              <w:topLinePunct w:val="0"/>
              <w:bidi w:val="0"/>
              <w:adjustRightInd w:val="0"/>
              <w:snapToGrid/>
              <w:jc w:val="righ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0.00</w:t>
            </w:r>
          </w:p>
        </w:tc>
        <w:tc>
          <w:tcPr>
            <w:tcW w:w="957" w:type="pct"/>
            <w:gridSpan w:val="2"/>
            <w:vMerge w:val="continue"/>
            <w:shd w:val="clear" w:color="auto" w:fill="auto"/>
            <w:vAlign w:val="center"/>
          </w:tcPr>
          <w:p>
            <w:pPr>
              <w:keepNext w:val="0"/>
              <w:keepLines w:val="0"/>
              <w:pageBreakBefore w:val="0"/>
              <w:kinsoku/>
              <w:wordWrap/>
              <w:overflowPunct/>
              <w:topLinePunct w:val="0"/>
              <w:bidi w:val="0"/>
              <w:adjustRightInd w:val="0"/>
              <w:snapToGrid/>
              <w:jc w:val="left"/>
              <w:rPr>
                <w:rFonts w:ascii="宋体" w:hAnsi="宋体" w:cs="宋体"/>
                <w:kern w:val="0"/>
                <w:sz w:val="18"/>
                <w:szCs w:val="18"/>
              </w:rPr>
            </w:pPr>
          </w:p>
        </w:tc>
        <w:tc>
          <w:tcPr>
            <w:tcW w:w="1583" w:type="pct"/>
            <w:gridSpan w:val="4"/>
            <w:vMerge w:val="continue"/>
            <w:shd w:val="clear" w:color="auto" w:fill="auto"/>
            <w:vAlign w:val="center"/>
          </w:tcPr>
          <w:p>
            <w:pPr>
              <w:keepNext w:val="0"/>
              <w:keepLines w:val="0"/>
              <w:pageBreakBefore w:val="0"/>
              <w:kinsoku/>
              <w:wordWrap/>
              <w:overflowPunct/>
              <w:topLinePunct w:val="0"/>
              <w:bidi w:val="0"/>
              <w:adjustRightInd w:val="0"/>
              <w:snapToGrid/>
              <w:jc w:val="left"/>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416" w:type="pct"/>
            <w:gridSpan w:val="4"/>
            <w:shd w:val="clear" w:color="auto" w:fill="auto"/>
            <w:vAlign w:val="center"/>
          </w:tcPr>
          <w:p>
            <w:pPr>
              <w:keepNext w:val="0"/>
              <w:keepLines w:val="0"/>
              <w:pageBreakBefore w:val="0"/>
              <w:kinsoku/>
              <w:wordWrap/>
              <w:overflowPunct/>
              <w:topLinePunct w:val="0"/>
              <w:bidi w:val="0"/>
              <w:adjustRightInd w:val="0"/>
              <w:snapToGrid/>
              <w:jc w:val="left"/>
              <w:rPr>
                <w:rFonts w:ascii="宋体" w:hAnsi="宋体" w:cs="宋体"/>
                <w:kern w:val="0"/>
                <w:sz w:val="18"/>
                <w:szCs w:val="18"/>
              </w:rPr>
            </w:pPr>
            <w:r>
              <w:rPr>
                <w:rFonts w:hint="eastAsia" w:ascii="宋体" w:hAnsi="宋体" w:cs="宋体"/>
                <w:kern w:val="0"/>
                <w:sz w:val="18"/>
                <w:szCs w:val="18"/>
              </w:rPr>
              <w:t>累计变更用途的募集资金总额比例</w:t>
            </w:r>
          </w:p>
        </w:tc>
        <w:tc>
          <w:tcPr>
            <w:tcW w:w="1042" w:type="pct"/>
            <w:gridSpan w:val="2"/>
            <w:shd w:val="clear" w:color="auto" w:fill="auto"/>
            <w:vAlign w:val="center"/>
          </w:tcPr>
          <w:p>
            <w:pPr>
              <w:keepNext w:val="0"/>
              <w:keepLines w:val="0"/>
              <w:pageBreakBefore w:val="0"/>
              <w:kinsoku/>
              <w:wordWrap/>
              <w:overflowPunct/>
              <w:topLinePunct w:val="0"/>
              <w:bidi w:val="0"/>
              <w:adjustRightInd w:val="0"/>
              <w:snapToGrid/>
              <w:jc w:val="righ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0.00%</w:t>
            </w:r>
          </w:p>
        </w:tc>
        <w:tc>
          <w:tcPr>
            <w:tcW w:w="957" w:type="pct"/>
            <w:gridSpan w:val="2"/>
            <w:vMerge w:val="continue"/>
            <w:shd w:val="clear" w:color="auto" w:fill="auto"/>
            <w:vAlign w:val="center"/>
          </w:tcPr>
          <w:p>
            <w:pPr>
              <w:keepNext w:val="0"/>
              <w:keepLines w:val="0"/>
              <w:pageBreakBefore w:val="0"/>
              <w:kinsoku/>
              <w:wordWrap/>
              <w:overflowPunct/>
              <w:topLinePunct w:val="0"/>
              <w:bidi w:val="0"/>
              <w:adjustRightInd w:val="0"/>
              <w:snapToGrid/>
              <w:jc w:val="left"/>
              <w:rPr>
                <w:rFonts w:ascii="宋体" w:hAnsi="宋体" w:cs="宋体"/>
                <w:kern w:val="0"/>
                <w:sz w:val="18"/>
                <w:szCs w:val="18"/>
              </w:rPr>
            </w:pPr>
          </w:p>
        </w:tc>
        <w:tc>
          <w:tcPr>
            <w:tcW w:w="1583" w:type="pct"/>
            <w:gridSpan w:val="4"/>
            <w:vMerge w:val="continue"/>
            <w:shd w:val="clear" w:color="auto" w:fill="auto"/>
            <w:vAlign w:val="center"/>
          </w:tcPr>
          <w:p>
            <w:pPr>
              <w:keepNext w:val="0"/>
              <w:keepLines w:val="0"/>
              <w:pageBreakBefore w:val="0"/>
              <w:kinsoku/>
              <w:wordWrap/>
              <w:overflowPunct/>
              <w:topLinePunct w:val="0"/>
              <w:bidi w:val="0"/>
              <w:adjustRightInd w:val="0"/>
              <w:snapToGrid/>
              <w:jc w:val="left"/>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552" w:type="pct"/>
            <w:shd w:val="clear" w:color="auto" w:fill="auto"/>
            <w:vAlign w:val="center"/>
          </w:tcPr>
          <w:p>
            <w:pPr>
              <w:keepNext w:val="0"/>
              <w:keepLines w:val="0"/>
              <w:pageBreakBefore w:val="0"/>
              <w:kinsoku/>
              <w:wordWrap/>
              <w:overflowPunct/>
              <w:topLinePunct w:val="0"/>
              <w:bidi w:val="0"/>
              <w:adjustRightInd w:val="0"/>
              <w:snapToGrid/>
              <w:jc w:val="center"/>
              <w:rPr>
                <w:rFonts w:ascii="宋体" w:hAnsi="宋体" w:cs="宋体"/>
                <w:kern w:val="0"/>
                <w:sz w:val="18"/>
                <w:szCs w:val="18"/>
              </w:rPr>
            </w:pPr>
            <w:r>
              <w:rPr>
                <w:rFonts w:hint="eastAsia" w:ascii="宋体" w:hAnsi="宋体" w:cs="宋体"/>
                <w:kern w:val="0"/>
                <w:sz w:val="18"/>
                <w:szCs w:val="18"/>
              </w:rPr>
              <w:t>承诺投资项目</w:t>
            </w:r>
          </w:p>
          <w:p>
            <w:pPr>
              <w:keepNext w:val="0"/>
              <w:keepLines w:val="0"/>
              <w:pageBreakBefore w:val="0"/>
              <w:kinsoku/>
              <w:wordWrap/>
              <w:overflowPunct/>
              <w:topLinePunct w:val="0"/>
              <w:bidi w:val="0"/>
              <w:adjustRightInd w:val="0"/>
              <w:snapToGrid/>
              <w:jc w:val="center"/>
              <w:rPr>
                <w:rFonts w:ascii="宋体" w:hAnsi="宋体" w:cs="宋体"/>
                <w:kern w:val="0"/>
                <w:sz w:val="18"/>
                <w:szCs w:val="18"/>
              </w:rPr>
            </w:pPr>
            <w:r>
              <w:rPr>
                <w:rFonts w:hint="eastAsia" w:ascii="宋体" w:hAnsi="宋体" w:cs="宋体"/>
                <w:kern w:val="0"/>
                <w:sz w:val="18"/>
                <w:szCs w:val="18"/>
              </w:rPr>
              <w:t>和超募资金投向</w:t>
            </w:r>
          </w:p>
        </w:tc>
        <w:tc>
          <w:tcPr>
            <w:tcW w:w="340" w:type="pct"/>
            <w:gridSpan w:val="2"/>
            <w:shd w:val="clear" w:color="auto" w:fill="auto"/>
            <w:vAlign w:val="center"/>
          </w:tcPr>
          <w:p>
            <w:pPr>
              <w:keepNext w:val="0"/>
              <w:keepLines w:val="0"/>
              <w:pageBreakBefore w:val="0"/>
              <w:kinsoku/>
              <w:wordWrap/>
              <w:overflowPunct/>
              <w:topLinePunct w:val="0"/>
              <w:bidi w:val="0"/>
              <w:adjustRightInd w:val="0"/>
              <w:snapToGrid/>
              <w:jc w:val="center"/>
              <w:rPr>
                <w:rFonts w:ascii="宋体" w:hAnsi="宋体" w:cs="宋体"/>
                <w:kern w:val="0"/>
                <w:sz w:val="18"/>
                <w:szCs w:val="18"/>
              </w:rPr>
            </w:pPr>
            <w:r>
              <w:rPr>
                <w:rFonts w:hint="eastAsia" w:ascii="宋体" w:hAnsi="宋体" w:cs="宋体"/>
                <w:kern w:val="0"/>
                <w:sz w:val="18"/>
                <w:szCs w:val="18"/>
              </w:rPr>
              <w:t>是否已变更项目（含部分变更）</w:t>
            </w:r>
          </w:p>
        </w:tc>
        <w:tc>
          <w:tcPr>
            <w:tcW w:w="523" w:type="pct"/>
            <w:shd w:val="clear" w:color="auto" w:fill="auto"/>
            <w:vAlign w:val="center"/>
          </w:tcPr>
          <w:p>
            <w:pPr>
              <w:keepNext w:val="0"/>
              <w:keepLines w:val="0"/>
              <w:pageBreakBefore w:val="0"/>
              <w:kinsoku/>
              <w:wordWrap/>
              <w:overflowPunct/>
              <w:topLinePunct w:val="0"/>
              <w:bidi w:val="0"/>
              <w:adjustRightInd w:val="0"/>
              <w:snapToGrid/>
              <w:jc w:val="center"/>
              <w:rPr>
                <w:rFonts w:ascii="宋体" w:hAnsi="宋体" w:cs="宋体"/>
                <w:kern w:val="0"/>
                <w:sz w:val="18"/>
                <w:szCs w:val="18"/>
              </w:rPr>
            </w:pPr>
            <w:r>
              <w:rPr>
                <w:rFonts w:hint="eastAsia" w:ascii="宋体" w:hAnsi="宋体" w:cs="宋体"/>
                <w:kern w:val="0"/>
                <w:sz w:val="18"/>
                <w:szCs w:val="18"/>
              </w:rPr>
              <w:t>募集资金</w:t>
            </w:r>
          </w:p>
          <w:p>
            <w:pPr>
              <w:keepNext w:val="0"/>
              <w:keepLines w:val="0"/>
              <w:pageBreakBefore w:val="0"/>
              <w:kinsoku/>
              <w:wordWrap/>
              <w:overflowPunct/>
              <w:topLinePunct w:val="0"/>
              <w:bidi w:val="0"/>
              <w:adjustRightInd w:val="0"/>
              <w:snapToGrid/>
              <w:jc w:val="center"/>
              <w:rPr>
                <w:rFonts w:ascii="宋体" w:hAnsi="宋体" w:cs="宋体"/>
                <w:kern w:val="0"/>
                <w:sz w:val="18"/>
                <w:szCs w:val="18"/>
              </w:rPr>
            </w:pPr>
            <w:r>
              <w:rPr>
                <w:rFonts w:hint="eastAsia" w:ascii="宋体" w:hAnsi="宋体" w:cs="宋体"/>
                <w:kern w:val="0"/>
                <w:sz w:val="18"/>
                <w:szCs w:val="18"/>
              </w:rPr>
              <w:t>承诺投资总额</w:t>
            </w:r>
          </w:p>
        </w:tc>
        <w:tc>
          <w:tcPr>
            <w:tcW w:w="521" w:type="pct"/>
            <w:shd w:val="clear" w:color="auto" w:fill="auto"/>
            <w:vAlign w:val="center"/>
          </w:tcPr>
          <w:p>
            <w:pPr>
              <w:keepNext w:val="0"/>
              <w:keepLines w:val="0"/>
              <w:pageBreakBefore w:val="0"/>
              <w:kinsoku/>
              <w:wordWrap/>
              <w:overflowPunct/>
              <w:topLinePunct w:val="0"/>
              <w:bidi w:val="0"/>
              <w:adjustRightInd w:val="0"/>
              <w:snapToGrid/>
              <w:jc w:val="center"/>
              <w:rPr>
                <w:rFonts w:ascii="宋体" w:hAnsi="宋体" w:cs="宋体"/>
                <w:kern w:val="0"/>
                <w:sz w:val="18"/>
                <w:szCs w:val="18"/>
              </w:rPr>
            </w:pPr>
            <w:r>
              <w:rPr>
                <w:rFonts w:hint="eastAsia" w:ascii="宋体" w:hAnsi="宋体" w:cs="宋体"/>
                <w:kern w:val="0"/>
                <w:sz w:val="18"/>
                <w:szCs w:val="18"/>
              </w:rPr>
              <w:t>调整后</w:t>
            </w:r>
          </w:p>
          <w:p>
            <w:pPr>
              <w:keepNext w:val="0"/>
              <w:keepLines w:val="0"/>
              <w:pageBreakBefore w:val="0"/>
              <w:kinsoku/>
              <w:wordWrap/>
              <w:overflowPunct/>
              <w:topLinePunct w:val="0"/>
              <w:bidi w:val="0"/>
              <w:adjustRightInd w:val="0"/>
              <w:snapToGrid/>
              <w:jc w:val="center"/>
              <w:rPr>
                <w:rFonts w:ascii="宋体" w:hAnsi="宋体" w:cs="宋体"/>
                <w:kern w:val="0"/>
                <w:sz w:val="18"/>
                <w:szCs w:val="18"/>
              </w:rPr>
            </w:pPr>
            <w:r>
              <w:rPr>
                <w:rFonts w:hint="eastAsia" w:ascii="宋体" w:hAnsi="宋体" w:cs="宋体"/>
                <w:kern w:val="0"/>
                <w:sz w:val="18"/>
                <w:szCs w:val="18"/>
              </w:rPr>
              <w:t>投资总额</w:t>
            </w:r>
          </w:p>
          <w:p>
            <w:pPr>
              <w:keepNext w:val="0"/>
              <w:keepLines w:val="0"/>
              <w:pageBreakBefore w:val="0"/>
              <w:kinsoku/>
              <w:wordWrap/>
              <w:overflowPunct/>
              <w:topLinePunct w:val="0"/>
              <w:bidi w:val="0"/>
              <w:adjustRightInd w:val="0"/>
              <w:snapToGrid/>
              <w:jc w:val="center"/>
              <w:rPr>
                <w:rFonts w:ascii="宋体" w:hAnsi="宋体" w:cs="宋体"/>
                <w:kern w:val="0"/>
                <w:sz w:val="18"/>
                <w:szCs w:val="18"/>
              </w:rPr>
            </w:pPr>
            <w:r>
              <w:rPr>
                <w:rFonts w:hint="eastAsia" w:ascii="宋体" w:hAnsi="宋体" w:cs="宋体"/>
                <w:kern w:val="0"/>
                <w:sz w:val="18"/>
                <w:szCs w:val="18"/>
              </w:rPr>
              <w:t>(1)</w:t>
            </w:r>
          </w:p>
        </w:tc>
        <w:tc>
          <w:tcPr>
            <w:tcW w:w="521" w:type="pct"/>
            <w:shd w:val="clear" w:color="auto" w:fill="auto"/>
            <w:vAlign w:val="center"/>
          </w:tcPr>
          <w:p>
            <w:pPr>
              <w:keepNext w:val="0"/>
              <w:keepLines w:val="0"/>
              <w:pageBreakBefore w:val="0"/>
              <w:kinsoku/>
              <w:wordWrap/>
              <w:overflowPunct/>
              <w:topLinePunct w:val="0"/>
              <w:bidi w:val="0"/>
              <w:adjustRightInd w:val="0"/>
              <w:snapToGrid/>
              <w:jc w:val="center"/>
              <w:rPr>
                <w:rFonts w:ascii="宋体" w:hAnsi="宋体" w:cs="宋体"/>
                <w:kern w:val="0"/>
                <w:sz w:val="18"/>
                <w:szCs w:val="18"/>
              </w:rPr>
            </w:pPr>
            <w:r>
              <w:rPr>
                <w:rFonts w:hint="eastAsia" w:ascii="宋体" w:hAnsi="宋体" w:cs="宋体"/>
                <w:kern w:val="0"/>
                <w:sz w:val="18"/>
                <w:szCs w:val="18"/>
              </w:rPr>
              <w:t>本年度</w:t>
            </w:r>
          </w:p>
          <w:p>
            <w:pPr>
              <w:keepNext w:val="0"/>
              <w:keepLines w:val="0"/>
              <w:pageBreakBefore w:val="0"/>
              <w:kinsoku/>
              <w:wordWrap/>
              <w:overflowPunct/>
              <w:topLinePunct w:val="0"/>
              <w:bidi w:val="0"/>
              <w:adjustRightInd w:val="0"/>
              <w:snapToGrid/>
              <w:jc w:val="center"/>
              <w:rPr>
                <w:rFonts w:hint="eastAsia" w:ascii="宋体" w:hAnsi="宋体" w:cs="宋体"/>
                <w:kern w:val="0"/>
                <w:sz w:val="18"/>
                <w:szCs w:val="18"/>
              </w:rPr>
            </w:pPr>
            <w:r>
              <w:rPr>
                <w:rFonts w:hint="eastAsia" w:ascii="宋体" w:hAnsi="宋体" w:cs="宋体"/>
                <w:kern w:val="0"/>
                <w:sz w:val="18"/>
                <w:szCs w:val="18"/>
              </w:rPr>
              <w:t>投入金额</w:t>
            </w:r>
            <w:r>
              <w:rPr>
                <w:rFonts w:hint="eastAsia" w:ascii="宋体" w:hAnsi="宋体" w:cs="宋体"/>
                <w:kern w:val="0"/>
                <w:sz w:val="18"/>
                <w:szCs w:val="18"/>
                <w:lang w:val="en-US" w:eastAsia="zh-CN"/>
              </w:rPr>
              <w:t>[注2]</w:t>
            </w:r>
          </w:p>
        </w:tc>
        <w:tc>
          <w:tcPr>
            <w:tcW w:w="520" w:type="pct"/>
            <w:shd w:val="clear" w:color="auto" w:fill="auto"/>
            <w:vAlign w:val="center"/>
          </w:tcPr>
          <w:p>
            <w:pPr>
              <w:keepNext w:val="0"/>
              <w:keepLines w:val="0"/>
              <w:pageBreakBefore w:val="0"/>
              <w:kinsoku/>
              <w:wordWrap/>
              <w:overflowPunct/>
              <w:topLinePunct w:val="0"/>
              <w:bidi w:val="0"/>
              <w:adjustRightInd w:val="0"/>
              <w:snapToGrid/>
              <w:jc w:val="center"/>
              <w:rPr>
                <w:rFonts w:ascii="宋体" w:hAnsi="宋体" w:cs="宋体"/>
                <w:kern w:val="0"/>
                <w:sz w:val="18"/>
                <w:szCs w:val="18"/>
              </w:rPr>
            </w:pPr>
            <w:r>
              <w:rPr>
                <w:rFonts w:hint="eastAsia" w:ascii="宋体" w:hAnsi="宋体" w:cs="宋体"/>
                <w:kern w:val="0"/>
                <w:sz w:val="18"/>
                <w:szCs w:val="18"/>
              </w:rPr>
              <w:t>截至期末</w:t>
            </w:r>
          </w:p>
          <w:p>
            <w:pPr>
              <w:keepNext w:val="0"/>
              <w:keepLines w:val="0"/>
              <w:pageBreakBefore w:val="0"/>
              <w:kinsoku/>
              <w:wordWrap/>
              <w:overflowPunct/>
              <w:topLinePunct w:val="0"/>
              <w:bidi w:val="0"/>
              <w:adjustRightInd w:val="0"/>
              <w:snapToGrid/>
              <w:jc w:val="center"/>
              <w:rPr>
                <w:rFonts w:ascii="宋体" w:hAnsi="宋体" w:cs="宋体"/>
                <w:kern w:val="0"/>
                <w:sz w:val="18"/>
                <w:szCs w:val="18"/>
              </w:rPr>
            </w:pPr>
            <w:r>
              <w:rPr>
                <w:rFonts w:hint="eastAsia" w:ascii="宋体" w:hAnsi="宋体" w:cs="宋体"/>
                <w:kern w:val="0"/>
                <w:sz w:val="18"/>
                <w:szCs w:val="18"/>
              </w:rPr>
              <w:t>累计投入金额</w:t>
            </w:r>
          </w:p>
          <w:p>
            <w:pPr>
              <w:keepNext w:val="0"/>
              <w:keepLines w:val="0"/>
              <w:pageBreakBefore w:val="0"/>
              <w:widowControl/>
              <w:suppressLineNumbers w:val="0"/>
              <w:kinsoku/>
              <w:wordWrap/>
              <w:overflowPunct/>
              <w:topLinePunct w:val="0"/>
              <w:bidi w:val="0"/>
              <w:snapToGrid/>
              <w:jc w:val="center"/>
              <w:rPr>
                <w:rFonts w:ascii="宋体" w:hAnsi="宋体" w:cs="宋体"/>
                <w:kern w:val="0"/>
                <w:sz w:val="18"/>
                <w:szCs w:val="18"/>
              </w:rPr>
            </w:pPr>
            <w:r>
              <w:rPr>
                <w:rFonts w:hint="eastAsia" w:ascii="宋体" w:hAnsi="宋体" w:cs="宋体"/>
                <w:kern w:val="0"/>
                <w:sz w:val="18"/>
                <w:szCs w:val="18"/>
              </w:rPr>
              <w:t>(2)</w:t>
            </w:r>
            <w:r>
              <w:rPr>
                <w:rFonts w:hint="eastAsia" w:ascii="宋体" w:hAnsi="宋体" w:cs="宋体"/>
                <w:kern w:val="0"/>
                <w:sz w:val="18"/>
                <w:szCs w:val="18"/>
                <w:lang w:val="en-US" w:eastAsia="zh-CN"/>
              </w:rPr>
              <w:t>[注2]</w:t>
            </w:r>
          </w:p>
        </w:tc>
        <w:tc>
          <w:tcPr>
            <w:tcW w:w="437" w:type="pct"/>
            <w:shd w:val="clear" w:color="auto" w:fill="auto"/>
            <w:vAlign w:val="center"/>
          </w:tcPr>
          <w:p>
            <w:pPr>
              <w:keepNext w:val="0"/>
              <w:keepLines w:val="0"/>
              <w:pageBreakBefore w:val="0"/>
              <w:kinsoku/>
              <w:wordWrap/>
              <w:overflowPunct/>
              <w:topLinePunct w:val="0"/>
              <w:bidi w:val="0"/>
              <w:adjustRightInd w:val="0"/>
              <w:snapToGrid/>
              <w:jc w:val="center"/>
              <w:rPr>
                <w:rFonts w:ascii="宋体" w:hAnsi="宋体" w:cs="宋体"/>
                <w:kern w:val="0"/>
                <w:sz w:val="18"/>
                <w:szCs w:val="18"/>
              </w:rPr>
            </w:pPr>
            <w:r>
              <w:rPr>
                <w:rFonts w:hint="eastAsia" w:ascii="宋体" w:hAnsi="宋体" w:cs="宋体"/>
                <w:kern w:val="0"/>
                <w:sz w:val="18"/>
                <w:szCs w:val="18"/>
              </w:rPr>
              <w:t>截至期末</w:t>
            </w:r>
          </w:p>
          <w:p>
            <w:pPr>
              <w:keepNext w:val="0"/>
              <w:keepLines w:val="0"/>
              <w:pageBreakBefore w:val="0"/>
              <w:kinsoku/>
              <w:wordWrap/>
              <w:overflowPunct/>
              <w:topLinePunct w:val="0"/>
              <w:bidi w:val="0"/>
              <w:adjustRightInd w:val="0"/>
              <w:snapToGrid/>
              <w:jc w:val="center"/>
              <w:rPr>
                <w:rFonts w:ascii="宋体" w:hAnsi="宋体" w:cs="宋体"/>
                <w:kern w:val="0"/>
                <w:sz w:val="18"/>
                <w:szCs w:val="18"/>
              </w:rPr>
            </w:pPr>
            <w:r>
              <w:rPr>
                <w:rFonts w:hint="eastAsia" w:ascii="宋体" w:hAnsi="宋体" w:cs="宋体"/>
                <w:kern w:val="0"/>
                <w:sz w:val="18"/>
                <w:szCs w:val="18"/>
              </w:rPr>
              <w:t>投资进度（%）</w:t>
            </w:r>
          </w:p>
          <w:p>
            <w:pPr>
              <w:keepNext w:val="0"/>
              <w:keepLines w:val="0"/>
              <w:pageBreakBefore w:val="0"/>
              <w:kinsoku/>
              <w:wordWrap/>
              <w:overflowPunct/>
              <w:topLinePunct w:val="0"/>
              <w:bidi w:val="0"/>
              <w:adjustRightInd w:val="0"/>
              <w:snapToGrid/>
              <w:jc w:val="center"/>
              <w:rPr>
                <w:rFonts w:ascii="宋体" w:hAnsi="宋体" w:cs="宋体"/>
                <w:kern w:val="0"/>
                <w:sz w:val="18"/>
                <w:szCs w:val="18"/>
              </w:rPr>
            </w:pPr>
            <w:r>
              <w:rPr>
                <w:rFonts w:hint="eastAsia" w:ascii="宋体" w:hAnsi="宋体" w:cs="宋体"/>
                <w:kern w:val="0"/>
                <w:sz w:val="18"/>
                <w:szCs w:val="18"/>
              </w:rPr>
              <w:t>(3)＝(2)/(1)</w:t>
            </w:r>
          </w:p>
        </w:tc>
        <w:tc>
          <w:tcPr>
            <w:tcW w:w="494" w:type="pct"/>
            <w:shd w:val="clear" w:color="auto" w:fill="auto"/>
            <w:vAlign w:val="center"/>
          </w:tcPr>
          <w:p>
            <w:pPr>
              <w:keepNext w:val="0"/>
              <w:keepLines w:val="0"/>
              <w:pageBreakBefore w:val="0"/>
              <w:kinsoku/>
              <w:wordWrap/>
              <w:overflowPunct/>
              <w:topLinePunct w:val="0"/>
              <w:bidi w:val="0"/>
              <w:adjustRightInd w:val="0"/>
              <w:snapToGrid/>
              <w:jc w:val="center"/>
              <w:rPr>
                <w:rFonts w:ascii="宋体" w:hAnsi="宋体" w:cs="宋体"/>
                <w:kern w:val="0"/>
                <w:sz w:val="18"/>
                <w:szCs w:val="18"/>
              </w:rPr>
            </w:pPr>
            <w:r>
              <w:rPr>
                <w:rFonts w:hint="eastAsia" w:ascii="宋体" w:hAnsi="宋体" w:cs="宋体"/>
                <w:kern w:val="0"/>
                <w:sz w:val="18"/>
                <w:szCs w:val="18"/>
              </w:rPr>
              <w:t>项目达到预定</w:t>
            </w:r>
          </w:p>
          <w:p>
            <w:pPr>
              <w:keepNext w:val="0"/>
              <w:keepLines w:val="0"/>
              <w:pageBreakBefore w:val="0"/>
              <w:kinsoku/>
              <w:wordWrap/>
              <w:overflowPunct/>
              <w:topLinePunct w:val="0"/>
              <w:bidi w:val="0"/>
              <w:adjustRightInd w:val="0"/>
              <w:snapToGrid/>
              <w:jc w:val="center"/>
              <w:rPr>
                <w:rFonts w:ascii="宋体" w:hAnsi="宋体" w:cs="宋体"/>
                <w:kern w:val="0"/>
                <w:sz w:val="18"/>
                <w:szCs w:val="18"/>
              </w:rPr>
            </w:pPr>
            <w:r>
              <w:rPr>
                <w:rFonts w:hint="eastAsia" w:ascii="宋体" w:hAnsi="宋体" w:cs="宋体"/>
                <w:kern w:val="0"/>
                <w:sz w:val="18"/>
                <w:szCs w:val="18"/>
              </w:rPr>
              <w:t>可使用状态日期</w:t>
            </w:r>
          </w:p>
        </w:tc>
        <w:tc>
          <w:tcPr>
            <w:tcW w:w="372" w:type="pct"/>
            <w:shd w:val="clear" w:color="auto" w:fill="auto"/>
            <w:vAlign w:val="center"/>
          </w:tcPr>
          <w:p>
            <w:pPr>
              <w:keepNext w:val="0"/>
              <w:keepLines w:val="0"/>
              <w:pageBreakBefore w:val="0"/>
              <w:kinsoku/>
              <w:wordWrap/>
              <w:overflowPunct/>
              <w:topLinePunct w:val="0"/>
              <w:bidi w:val="0"/>
              <w:adjustRightInd w:val="0"/>
              <w:snapToGrid/>
              <w:jc w:val="center"/>
              <w:rPr>
                <w:rFonts w:ascii="宋体" w:hAnsi="宋体" w:cs="宋体"/>
                <w:kern w:val="0"/>
                <w:sz w:val="18"/>
                <w:szCs w:val="18"/>
              </w:rPr>
            </w:pPr>
            <w:r>
              <w:rPr>
                <w:rFonts w:hint="eastAsia" w:ascii="宋体" w:hAnsi="宋体" w:cs="宋体"/>
                <w:kern w:val="0"/>
                <w:sz w:val="18"/>
                <w:szCs w:val="18"/>
              </w:rPr>
              <w:t>本年度</w:t>
            </w:r>
          </w:p>
          <w:p>
            <w:pPr>
              <w:keepNext w:val="0"/>
              <w:keepLines w:val="0"/>
              <w:pageBreakBefore w:val="0"/>
              <w:kinsoku/>
              <w:wordWrap/>
              <w:overflowPunct/>
              <w:topLinePunct w:val="0"/>
              <w:bidi w:val="0"/>
              <w:adjustRightInd w:val="0"/>
              <w:snapToGrid/>
              <w:jc w:val="center"/>
              <w:rPr>
                <w:rFonts w:ascii="宋体" w:hAnsi="宋体" w:cs="宋体"/>
                <w:kern w:val="0"/>
                <w:sz w:val="18"/>
                <w:szCs w:val="18"/>
              </w:rPr>
            </w:pPr>
            <w:r>
              <w:rPr>
                <w:rFonts w:hint="eastAsia" w:ascii="宋体" w:hAnsi="宋体" w:cs="宋体"/>
                <w:kern w:val="0"/>
                <w:sz w:val="18"/>
                <w:szCs w:val="18"/>
              </w:rPr>
              <w:t>实现的效益</w:t>
            </w:r>
          </w:p>
        </w:tc>
        <w:tc>
          <w:tcPr>
            <w:tcW w:w="315" w:type="pct"/>
            <w:shd w:val="clear" w:color="auto" w:fill="auto"/>
            <w:vAlign w:val="center"/>
          </w:tcPr>
          <w:p>
            <w:pPr>
              <w:keepNext w:val="0"/>
              <w:keepLines w:val="0"/>
              <w:pageBreakBefore w:val="0"/>
              <w:kinsoku/>
              <w:wordWrap/>
              <w:overflowPunct/>
              <w:topLinePunct w:val="0"/>
              <w:bidi w:val="0"/>
              <w:adjustRightInd w:val="0"/>
              <w:snapToGrid/>
              <w:jc w:val="center"/>
              <w:rPr>
                <w:rFonts w:ascii="宋体" w:hAnsi="宋体" w:cs="宋体"/>
                <w:kern w:val="0"/>
                <w:sz w:val="18"/>
                <w:szCs w:val="18"/>
              </w:rPr>
            </w:pPr>
            <w:r>
              <w:rPr>
                <w:rFonts w:hint="eastAsia" w:ascii="宋体" w:hAnsi="宋体" w:cs="宋体"/>
                <w:kern w:val="0"/>
                <w:sz w:val="18"/>
                <w:szCs w:val="18"/>
              </w:rPr>
              <w:t>是否达到预计效益</w:t>
            </w:r>
          </w:p>
        </w:tc>
        <w:tc>
          <w:tcPr>
            <w:tcW w:w="401" w:type="pct"/>
            <w:shd w:val="clear" w:color="auto" w:fill="auto"/>
            <w:vAlign w:val="center"/>
          </w:tcPr>
          <w:p>
            <w:pPr>
              <w:keepNext w:val="0"/>
              <w:keepLines w:val="0"/>
              <w:pageBreakBefore w:val="0"/>
              <w:kinsoku/>
              <w:wordWrap/>
              <w:overflowPunct/>
              <w:topLinePunct w:val="0"/>
              <w:bidi w:val="0"/>
              <w:adjustRightInd w:val="0"/>
              <w:snapToGrid/>
              <w:jc w:val="center"/>
              <w:rPr>
                <w:rFonts w:ascii="宋体" w:hAnsi="宋体" w:cs="宋体"/>
                <w:kern w:val="0"/>
                <w:sz w:val="18"/>
                <w:szCs w:val="18"/>
              </w:rPr>
            </w:pPr>
            <w:r>
              <w:rPr>
                <w:rFonts w:hint="eastAsia" w:ascii="宋体" w:hAnsi="宋体" w:cs="宋体"/>
                <w:kern w:val="0"/>
                <w:sz w:val="18"/>
                <w:szCs w:val="18"/>
              </w:rPr>
              <w:t>项目可行性是否发生</w:t>
            </w:r>
          </w:p>
          <w:p>
            <w:pPr>
              <w:keepNext w:val="0"/>
              <w:keepLines w:val="0"/>
              <w:pageBreakBefore w:val="0"/>
              <w:kinsoku/>
              <w:wordWrap/>
              <w:overflowPunct/>
              <w:topLinePunct w:val="0"/>
              <w:bidi w:val="0"/>
              <w:adjustRightInd w:val="0"/>
              <w:snapToGrid/>
              <w:jc w:val="center"/>
              <w:rPr>
                <w:rFonts w:ascii="宋体" w:hAnsi="宋体" w:cs="宋体"/>
                <w:kern w:val="0"/>
                <w:sz w:val="18"/>
                <w:szCs w:val="18"/>
              </w:rPr>
            </w:pPr>
            <w:r>
              <w:rPr>
                <w:rFonts w:hint="eastAsia" w:ascii="宋体" w:hAnsi="宋体" w:cs="宋体"/>
                <w:kern w:val="0"/>
                <w:sz w:val="18"/>
                <w:szCs w:val="18"/>
              </w:rPr>
              <w:t>重大变化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552" w:type="pct"/>
            <w:shd w:val="clear" w:color="auto" w:fill="auto"/>
            <w:vAlign w:val="center"/>
          </w:tcPr>
          <w:p>
            <w:pPr>
              <w:keepNext w:val="0"/>
              <w:keepLines w:val="0"/>
              <w:pageBreakBefore w:val="0"/>
              <w:kinsoku/>
              <w:wordWrap/>
              <w:overflowPunct/>
              <w:topLinePunct w:val="0"/>
              <w:bidi w:val="0"/>
              <w:adjustRightInd w:val="0"/>
              <w:snapToGrid/>
              <w:jc w:val="left"/>
              <w:rPr>
                <w:rFonts w:ascii="宋体" w:hAnsi="宋体" w:cs="宋体"/>
                <w:kern w:val="0"/>
                <w:sz w:val="18"/>
                <w:szCs w:val="18"/>
              </w:rPr>
            </w:pPr>
            <w:r>
              <w:rPr>
                <w:rFonts w:hint="eastAsia" w:ascii="宋体" w:hAnsi="宋体" w:cs="宋体"/>
                <w:kern w:val="0"/>
                <w:sz w:val="18"/>
                <w:szCs w:val="18"/>
              </w:rPr>
              <w:t>承诺投资项目</w:t>
            </w:r>
          </w:p>
        </w:tc>
        <w:tc>
          <w:tcPr>
            <w:tcW w:w="4447" w:type="pct"/>
            <w:gridSpan w:val="11"/>
            <w:shd w:val="clear" w:color="auto" w:fill="auto"/>
            <w:vAlign w:val="center"/>
          </w:tcPr>
          <w:p>
            <w:pPr>
              <w:keepNext w:val="0"/>
              <w:keepLines w:val="0"/>
              <w:pageBreakBefore w:val="0"/>
              <w:kinsoku/>
              <w:wordWrap/>
              <w:overflowPunct/>
              <w:topLinePunct w:val="0"/>
              <w:bidi w:val="0"/>
              <w:adjustRightInd w:val="0"/>
              <w:snapToGrid/>
              <w:jc w:val="right"/>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552" w:type="pct"/>
            <w:shd w:val="clear" w:color="auto" w:fill="auto"/>
            <w:vAlign w:val="center"/>
          </w:tcPr>
          <w:p>
            <w:pPr>
              <w:keepNext w:val="0"/>
              <w:keepLines w:val="0"/>
              <w:pageBreakBefore w:val="0"/>
              <w:widowControl/>
              <w:numPr>
                <w:ilvl w:val="0"/>
                <w:numId w:val="0"/>
              </w:numPr>
              <w:suppressLineNumbers w:val="0"/>
              <w:kinsoku/>
              <w:wordWrap/>
              <w:overflowPunct/>
              <w:topLinePunct w:val="0"/>
              <w:bidi w:val="0"/>
              <w:snapToGrid/>
              <w:jc w:val="left"/>
              <w:textAlignment w:val="center"/>
              <w:rPr>
                <w:rFonts w:ascii="宋体" w:hAnsi="宋体" w:cs="宋体"/>
                <w:kern w:val="0"/>
                <w:sz w:val="18"/>
                <w:szCs w:val="18"/>
              </w:rPr>
            </w:pPr>
            <w:r>
              <w:rPr>
                <w:rFonts w:hint="eastAsia" w:ascii="宋体" w:hAnsi="宋体" w:cs="宋体"/>
                <w:kern w:val="0"/>
                <w:sz w:val="18"/>
                <w:szCs w:val="18"/>
                <w:lang w:val="en-US" w:eastAsia="zh-CN"/>
              </w:rPr>
              <w:t>偿还银行贷款和补充流动资金</w:t>
            </w:r>
          </w:p>
        </w:tc>
        <w:tc>
          <w:tcPr>
            <w:tcW w:w="340" w:type="pct"/>
            <w:gridSpan w:val="2"/>
            <w:shd w:val="clear" w:color="auto" w:fill="auto"/>
            <w:vAlign w:val="center"/>
          </w:tcPr>
          <w:p>
            <w:pPr>
              <w:keepNext w:val="0"/>
              <w:keepLines w:val="0"/>
              <w:pageBreakBefore w:val="0"/>
              <w:widowControl/>
              <w:suppressLineNumbers w:val="0"/>
              <w:kinsoku/>
              <w:wordWrap/>
              <w:overflowPunct/>
              <w:topLinePunct w:val="0"/>
              <w:bidi w:val="0"/>
              <w:snapToGrid/>
              <w:jc w:val="center"/>
              <w:textAlignment w:val="center"/>
              <w:rPr>
                <w:rFonts w:ascii="宋体" w:hAnsi="宋体" w:cs="宋体"/>
                <w:kern w:val="0"/>
                <w:sz w:val="18"/>
                <w:szCs w:val="18"/>
              </w:rPr>
            </w:pPr>
            <w:r>
              <w:rPr>
                <w:rStyle w:val="32"/>
                <w:lang w:val="en-US" w:eastAsia="zh-CN" w:bidi="ar"/>
              </w:rPr>
              <w:t>否</w:t>
            </w:r>
          </w:p>
        </w:tc>
        <w:tc>
          <w:tcPr>
            <w:tcW w:w="523" w:type="pct"/>
            <w:shd w:val="clear" w:color="auto" w:fill="auto"/>
            <w:vAlign w:val="center"/>
          </w:tcPr>
          <w:p>
            <w:pPr>
              <w:keepNext w:val="0"/>
              <w:keepLines w:val="0"/>
              <w:pageBreakBefore w:val="0"/>
              <w:widowControl/>
              <w:suppressLineNumbers w:val="0"/>
              <w:kinsoku/>
              <w:wordWrap/>
              <w:overflowPunct/>
              <w:topLinePunct w:val="0"/>
              <w:bidi w:val="0"/>
              <w:snapToGrid/>
              <w:jc w:val="right"/>
              <w:textAlignment w:val="center"/>
              <w:rPr>
                <w:rFonts w:hint="eastAsia" w:ascii="宋体" w:hAnsi="宋体" w:eastAsia="宋体" w:cs="宋体"/>
                <w:kern w:val="0"/>
                <w:sz w:val="18"/>
                <w:szCs w:val="18"/>
              </w:rPr>
            </w:pPr>
            <w:r>
              <w:rPr>
                <w:rFonts w:hint="default" w:ascii="宋体" w:hAnsi="宋体" w:cs="宋体"/>
                <w:kern w:val="0"/>
                <w:sz w:val="18"/>
                <w:szCs w:val="18"/>
                <w:lang w:val="en-US" w:eastAsia="zh-CN"/>
              </w:rPr>
              <w:t>459,804,693.84</w:t>
            </w:r>
          </w:p>
        </w:tc>
        <w:tc>
          <w:tcPr>
            <w:tcW w:w="521" w:type="pct"/>
            <w:shd w:val="clear" w:color="auto" w:fill="auto"/>
            <w:vAlign w:val="center"/>
          </w:tcPr>
          <w:p>
            <w:pPr>
              <w:keepNext w:val="0"/>
              <w:keepLines w:val="0"/>
              <w:pageBreakBefore w:val="0"/>
              <w:widowControl/>
              <w:suppressLineNumbers w:val="0"/>
              <w:kinsoku/>
              <w:wordWrap/>
              <w:overflowPunct/>
              <w:topLinePunct w:val="0"/>
              <w:bidi w:val="0"/>
              <w:snapToGrid/>
              <w:jc w:val="right"/>
              <w:textAlignment w:val="center"/>
              <w:rPr>
                <w:rFonts w:hint="eastAsia" w:ascii="宋体" w:hAnsi="宋体" w:eastAsia="宋体" w:cs="宋体"/>
                <w:kern w:val="0"/>
                <w:sz w:val="18"/>
                <w:szCs w:val="18"/>
                <w:highlight w:val="none"/>
              </w:rPr>
            </w:pPr>
            <w:r>
              <w:rPr>
                <w:rFonts w:hint="default" w:ascii="宋体" w:hAnsi="宋体" w:cs="宋体"/>
                <w:kern w:val="0"/>
                <w:sz w:val="18"/>
                <w:szCs w:val="18"/>
                <w:highlight w:val="none"/>
                <w:lang w:val="en-US" w:eastAsia="zh-CN"/>
              </w:rPr>
              <w:t>459,804,693.84</w:t>
            </w:r>
          </w:p>
        </w:tc>
        <w:tc>
          <w:tcPr>
            <w:tcW w:w="521" w:type="pct"/>
            <w:shd w:val="clear" w:color="auto" w:fill="auto"/>
            <w:vAlign w:val="center"/>
          </w:tcPr>
          <w:p>
            <w:pPr>
              <w:keepNext w:val="0"/>
              <w:keepLines w:val="0"/>
              <w:pageBreakBefore w:val="0"/>
              <w:widowControl/>
              <w:suppressLineNumbers w:val="0"/>
              <w:kinsoku/>
              <w:wordWrap/>
              <w:overflowPunct/>
              <w:topLinePunct w:val="0"/>
              <w:bidi w:val="0"/>
              <w:snapToGrid/>
              <w:jc w:val="right"/>
              <w:textAlignment w:val="center"/>
              <w:rPr>
                <w:rFonts w:hint="default" w:ascii="宋体" w:hAnsi="宋体" w:eastAsia="宋体" w:cs="宋体"/>
                <w:i w:val="0"/>
                <w:iCs w:val="0"/>
                <w:color w:val="000000"/>
                <w:kern w:val="2"/>
                <w:sz w:val="24"/>
                <w:szCs w:val="24"/>
                <w:highlight w:val="none"/>
                <w:u w:val="none"/>
                <w:lang w:val="en-US" w:eastAsia="zh-CN" w:bidi="ar-SA"/>
              </w:rPr>
            </w:pPr>
            <w:r>
              <w:rPr>
                <w:rFonts w:hint="default" w:ascii="宋体" w:hAnsi="宋体" w:cs="宋体"/>
                <w:kern w:val="0"/>
                <w:sz w:val="18"/>
                <w:szCs w:val="18"/>
                <w:highlight w:val="none"/>
                <w:lang w:val="en-US" w:eastAsia="zh-CN"/>
              </w:rPr>
              <w:t>4</w:t>
            </w:r>
            <w:r>
              <w:rPr>
                <w:rFonts w:hint="eastAsia" w:ascii="宋体" w:hAnsi="宋体" w:cs="宋体"/>
                <w:kern w:val="0"/>
                <w:sz w:val="18"/>
                <w:szCs w:val="18"/>
                <w:highlight w:val="none"/>
                <w:lang w:val="en-US" w:eastAsia="zh-CN"/>
              </w:rPr>
              <w:t>61</w:t>
            </w:r>
            <w:r>
              <w:rPr>
                <w:rFonts w:hint="default" w:ascii="宋体" w:hAnsi="宋体" w:cs="宋体"/>
                <w:kern w:val="0"/>
                <w:sz w:val="18"/>
                <w:szCs w:val="18"/>
                <w:highlight w:val="none"/>
                <w:lang w:val="en-US" w:eastAsia="zh-CN"/>
              </w:rPr>
              <w:t>,</w:t>
            </w:r>
            <w:r>
              <w:rPr>
                <w:rFonts w:hint="eastAsia" w:ascii="宋体" w:hAnsi="宋体" w:cs="宋体"/>
                <w:kern w:val="0"/>
                <w:sz w:val="18"/>
                <w:szCs w:val="18"/>
                <w:highlight w:val="none"/>
                <w:lang w:val="en-US" w:eastAsia="zh-CN"/>
              </w:rPr>
              <w:t>724</w:t>
            </w:r>
            <w:r>
              <w:rPr>
                <w:rFonts w:hint="default" w:ascii="宋体" w:hAnsi="宋体" w:cs="宋体"/>
                <w:kern w:val="0"/>
                <w:sz w:val="18"/>
                <w:szCs w:val="18"/>
                <w:highlight w:val="none"/>
                <w:lang w:val="en-US" w:eastAsia="zh-CN"/>
              </w:rPr>
              <w:t>,</w:t>
            </w:r>
            <w:r>
              <w:rPr>
                <w:rFonts w:hint="eastAsia" w:ascii="宋体" w:hAnsi="宋体" w:cs="宋体"/>
                <w:kern w:val="0"/>
                <w:sz w:val="18"/>
                <w:szCs w:val="18"/>
                <w:highlight w:val="none"/>
                <w:lang w:val="en-US" w:eastAsia="zh-CN"/>
              </w:rPr>
              <w:t>997</w:t>
            </w:r>
            <w:r>
              <w:rPr>
                <w:rFonts w:hint="default" w:ascii="宋体" w:hAnsi="宋体" w:cs="宋体"/>
                <w:kern w:val="0"/>
                <w:sz w:val="18"/>
                <w:szCs w:val="18"/>
                <w:highlight w:val="none"/>
                <w:lang w:val="en-US" w:eastAsia="zh-CN"/>
              </w:rPr>
              <w:t>.</w:t>
            </w:r>
            <w:r>
              <w:rPr>
                <w:rFonts w:hint="eastAsia" w:ascii="宋体" w:hAnsi="宋体" w:cs="宋体"/>
                <w:kern w:val="0"/>
                <w:sz w:val="18"/>
                <w:szCs w:val="18"/>
                <w:highlight w:val="none"/>
                <w:lang w:val="en-US" w:eastAsia="zh-CN"/>
              </w:rPr>
              <w:t>37</w:t>
            </w:r>
          </w:p>
        </w:tc>
        <w:tc>
          <w:tcPr>
            <w:tcW w:w="520" w:type="pct"/>
            <w:shd w:val="clear" w:color="auto" w:fill="auto"/>
            <w:vAlign w:val="center"/>
          </w:tcPr>
          <w:p>
            <w:pPr>
              <w:keepNext w:val="0"/>
              <w:keepLines w:val="0"/>
              <w:pageBreakBefore w:val="0"/>
              <w:widowControl/>
              <w:suppressLineNumbers w:val="0"/>
              <w:kinsoku/>
              <w:wordWrap/>
              <w:overflowPunct/>
              <w:topLinePunct w:val="0"/>
              <w:bidi w:val="0"/>
              <w:snapToGrid/>
              <w:jc w:val="righ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default" w:ascii="宋体" w:hAnsi="宋体" w:cs="宋体"/>
                <w:kern w:val="0"/>
                <w:sz w:val="18"/>
                <w:szCs w:val="18"/>
                <w:highlight w:val="none"/>
                <w:lang w:val="en-US" w:eastAsia="zh-CN"/>
              </w:rPr>
              <w:t>4</w:t>
            </w:r>
            <w:r>
              <w:rPr>
                <w:rFonts w:hint="eastAsia" w:ascii="宋体" w:hAnsi="宋体" w:cs="宋体"/>
                <w:kern w:val="0"/>
                <w:sz w:val="18"/>
                <w:szCs w:val="18"/>
                <w:highlight w:val="none"/>
                <w:lang w:val="en-US" w:eastAsia="zh-CN"/>
              </w:rPr>
              <w:t>61</w:t>
            </w:r>
            <w:r>
              <w:rPr>
                <w:rFonts w:hint="default" w:ascii="宋体" w:hAnsi="宋体" w:cs="宋体"/>
                <w:kern w:val="0"/>
                <w:sz w:val="18"/>
                <w:szCs w:val="18"/>
                <w:highlight w:val="none"/>
                <w:lang w:val="en-US" w:eastAsia="zh-CN"/>
              </w:rPr>
              <w:t>,</w:t>
            </w:r>
            <w:r>
              <w:rPr>
                <w:rFonts w:hint="eastAsia" w:ascii="宋体" w:hAnsi="宋体" w:cs="宋体"/>
                <w:kern w:val="0"/>
                <w:sz w:val="18"/>
                <w:szCs w:val="18"/>
                <w:highlight w:val="none"/>
                <w:lang w:val="en-US" w:eastAsia="zh-CN"/>
              </w:rPr>
              <w:t>724</w:t>
            </w:r>
            <w:r>
              <w:rPr>
                <w:rFonts w:hint="default" w:ascii="宋体" w:hAnsi="宋体" w:cs="宋体"/>
                <w:kern w:val="0"/>
                <w:sz w:val="18"/>
                <w:szCs w:val="18"/>
                <w:highlight w:val="none"/>
                <w:lang w:val="en-US" w:eastAsia="zh-CN"/>
              </w:rPr>
              <w:t>,</w:t>
            </w:r>
            <w:r>
              <w:rPr>
                <w:rFonts w:hint="eastAsia" w:ascii="宋体" w:hAnsi="宋体" w:cs="宋体"/>
                <w:kern w:val="0"/>
                <w:sz w:val="18"/>
                <w:szCs w:val="18"/>
                <w:highlight w:val="none"/>
                <w:lang w:val="en-US" w:eastAsia="zh-CN"/>
              </w:rPr>
              <w:t>997</w:t>
            </w:r>
            <w:r>
              <w:rPr>
                <w:rFonts w:hint="default" w:ascii="宋体" w:hAnsi="宋体" w:cs="宋体"/>
                <w:kern w:val="0"/>
                <w:sz w:val="18"/>
                <w:szCs w:val="18"/>
                <w:highlight w:val="none"/>
                <w:lang w:val="en-US" w:eastAsia="zh-CN"/>
              </w:rPr>
              <w:t>.</w:t>
            </w:r>
            <w:r>
              <w:rPr>
                <w:rFonts w:hint="eastAsia" w:ascii="宋体" w:hAnsi="宋体" w:cs="宋体"/>
                <w:kern w:val="0"/>
                <w:sz w:val="18"/>
                <w:szCs w:val="18"/>
                <w:highlight w:val="none"/>
                <w:lang w:val="en-US" w:eastAsia="zh-CN"/>
              </w:rPr>
              <w:t>37</w:t>
            </w:r>
          </w:p>
        </w:tc>
        <w:tc>
          <w:tcPr>
            <w:tcW w:w="437" w:type="pct"/>
            <w:shd w:val="clear" w:color="auto" w:fill="auto"/>
            <w:vAlign w:val="center"/>
          </w:tcPr>
          <w:p>
            <w:pPr>
              <w:keepNext w:val="0"/>
              <w:keepLines w:val="0"/>
              <w:pageBreakBefore w:val="0"/>
              <w:widowControl/>
              <w:suppressLineNumbers w:val="0"/>
              <w:kinsoku/>
              <w:wordWrap/>
              <w:overflowPunct/>
              <w:topLinePunct w:val="0"/>
              <w:bidi w:val="0"/>
              <w:snapToGrid/>
              <w:jc w:val="right"/>
              <w:textAlignment w:val="center"/>
              <w:rPr>
                <w:rFonts w:hint="default" w:ascii="宋体" w:hAnsi="宋体" w:eastAsia="宋体" w:cs="宋体"/>
                <w:kern w:val="0"/>
                <w:sz w:val="18"/>
                <w:szCs w:val="18"/>
                <w:highlight w:val="none"/>
                <w:lang w:val="en-US"/>
              </w:rPr>
            </w:pPr>
            <w:r>
              <w:rPr>
                <w:rFonts w:hint="eastAsia" w:ascii="宋体" w:hAnsi="宋体" w:cs="宋体"/>
                <w:i w:val="0"/>
                <w:iCs w:val="0"/>
                <w:color w:val="000000"/>
                <w:kern w:val="0"/>
                <w:sz w:val="18"/>
                <w:szCs w:val="18"/>
                <w:highlight w:val="none"/>
                <w:u w:val="none"/>
                <w:lang w:val="en-US" w:eastAsia="zh-CN" w:bidi="ar"/>
              </w:rPr>
              <w:t>100.00</w:t>
            </w:r>
          </w:p>
        </w:tc>
        <w:tc>
          <w:tcPr>
            <w:tcW w:w="494" w:type="pct"/>
            <w:shd w:val="clear" w:color="auto" w:fill="auto"/>
            <w:vAlign w:val="center"/>
          </w:tcPr>
          <w:p>
            <w:pPr>
              <w:keepNext w:val="0"/>
              <w:keepLines w:val="0"/>
              <w:pageBreakBefore w:val="0"/>
              <w:widowControl/>
              <w:suppressLineNumbers w:val="0"/>
              <w:kinsoku/>
              <w:wordWrap/>
              <w:overflowPunct/>
              <w:topLinePunct w:val="0"/>
              <w:bidi w:val="0"/>
              <w:snapToGrid/>
              <w:jc w:val="left"/>
              <w:rPr>
                <w:rFonts w:hint="eastAsia" w:ascii="宋体" w:hAnsi="宋体" w:eastAsia="宋体" w:cs="宋体"/>
                <w:kern w:val="0"/>
                <w:sz w:val="18"/>
                <w:szCs w:val="18"/>
              </w:rPr>
            </w:pPr>
            <w:r>
              <w:rPr>
                <w:rFonts w:hint="eastAsia" w:ascii="宋体" w:hAnsi="宋体" w:eastAsia="宋体" w:cs="宋体"/>
                <w:color w:val="000000"/>
                <w:kern w:val="0"/>
                <w:sz w:val="18"/>
                <w:szCs w:val="18"/>
                <w:lang w:val="en-US" w:eastAsia="zh-CN" w:bidi="ar"/>
              </w:rPr>
              <w:t>不适用</w:t>
            </w:r>
          </w:p>
        </w:tc>
        <w:tc>
          <w:tcPr>
            <w:tcW w:w="372" w:type="pct"/>
            <w:shd w:val="clear" w:color="auto" w:fill="auto"/>
            <w:vAlign w:val="center"/>
          </w:tcPr>
          <w:p>
            <w:pPr>
              <w:keepNext w:val="0"/>
              <w:keepLines w:val="0"/>
              <w:pageBreakBefore w:val="0"/>
              <w:widowControl/>
              <w:suppressLineNumbers w:val="0"/>
              <w:kinsoku/>
              <w:wordWrap/>
              <w:overflowPunct/>
              <w:topLinePunct w:val="0"/>
              <w:bidi w:val="0"/>
              <w:snapToGrid/>
              <w:jc w:val="center"/>
              <w:rPr>
                <w:rFonts w:ascii="宋体" w:hAnsi="宋体" w:cs="宋体"/>
                <w:kern w:val="0"/>
                <w:sz w:val="18"/>
                <w:szCs w:val="18"/>
              </w:rPr>
            </w:pPr>
            <w:r>
              <w:rPr>
                <w:rFonts w:hint="eastAsia" w:ascii="宋体" w:hAnsi="宋体" w:eastAsia="宋体" w:cs="宋体"/>
                <w:color w:val="000000"/>
                <w:kern w:val="0"/>
                <w:sz w:val="18"/>
                <w:szCs w:val="18"/>
                <w:lang w:val="en-US" w:eastAsia="zh-CN" w:bidi="ar"/>
              </w:rPr>
              <w:t>不适用</w:t>
            </w:r>
          </w:p>
        </w:tc>
        <w:tc>
          <w:tcPr>
            <w:tcW w:w="315" w:type="pct"/>
            <w:shd w:val="clear" w:color="auto" w:fill="auto"/>
            <w:vAlign w:val="center"/>
          </w:tcPr>
          <w:p>
            <w:pPr>
              <w:keepNext w:val="0"/>
              <w:keepLines w:val="0"/>
              <w:pageBreakBefore w:val="0"/>
              <w:widowControl/>
              <w:suppressLineNumbers w:val="0"/>
              <w:kinsoku/>
              <w:wordWrap/>
              <w:overflowPunct/>
              <w:topLinePunct w:val="0"/>
              <w:bidi w:val="0"/>
              <w:snapToGrid/>
              <w:jc w:val="center"/>
              <w:rPr>
                <w:rFonts w:ascii="宋体" w:hAnsi="宋体" w:cs="宋体"/>
                <w:kern w:val="0"/>
                <w:sz w:val="18"/>
                <w:szCs w:val="18"/>
              </w:rPr>
            </w:pPr>
            <w:r>
              <w:rPr>
                <w:rFonts w:hint="eastAsia" w:ascii="宋体" w:hAnsi="宋体" w:eastAsia="宋体" w:cs="宋体"/>
                <w:color w:val="000000"/>
                <w:kern w:val="0"/>
                <w:sz w:val="18"/>
                <w:szCs w:val="18"/>
                <w:lang w:val="en-US" w:eastAsia="zh-CN" w:bidi="ar"/>
              </w:rPr>
              <w:t>不适用</w:t>
            </w:r>
          </w:p>
        </w:tc>
        <w:tc>
          <w:tcPr>
            <w:tcW w:w="401" w:type="pct"/>
            <w:shd w:val="clear" w:color="auto" w:fill="auto"/>
            <w:vAlign w:val="center"/>
          </w:tcPr>
          <w:p>
            <w:pPr>
              <w:keepNext w:val="0"/>
              <w:keepLines w:val="0"/>
              <w:pageBreakBefore w:val="0"/>
              <w:kinsoku/>
              <w:wordWrap/>
              <w:overflowPunct/>
              <w:topLinePunct w:val="0"/>
              <w:bidi w:val="0"/>
              <w:adjustRightInd w:val="0"/>
              <w:snapToGrid/>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552" w:type="pct"/>
            <w:shd w:val="clear" w:color="auto" w:fill="auto"/>
            <w:vAlign w:val="center"/>
          </w:tcPr>
          <w:p>
            <w:pPr>
              <w:keepNext w:val="0"/>
              <w:keepLines w:val="0"/>
              <w:pageBreakBefore w:val="0"/>
              <w:widowControl/>
              <w:numPr>
                <w:ilvl w:val="0"/>
                <w:numId w:val="0"/>
              </w:numPr>
              <w:suppressLineNumbers w:val="0"/>
              <w:kinsoku/>
              <w:wordWrap/>
              <w:overflowPunct/>
              <w:topLinePunct w:val="0"/>
              <w:bidi w:val="0"/>
              <w:snapToGrid/>
              <w:ind w:leftChars="0"/>
              <w:jc w:val="left"/>
              <w:textAlignment w:val="center"/>
              <w:rPr>
                <w:rFonts w:ascii="宋体" w:hAnsi="宋体" w:cs="宋体"/>
                <w:kern w:val="0"/>
                <w:sz w:val="18"/>
                <w:szCs w:val="18"/>
              </w:rPr>
            </w:pPr>
            <w:r>
              <w:rPr>
                <w:rFonts w:hint="eastAsia" w:ascii="宋体" w:hAnsi="宋体" w:cs="宋体"/>
                <w:kern w:val="0"/>
                <w:sz w:val="18"/>
                <w:szCs w:val="18"/>
                <w:lang w:val="en-US" w:eastAsia="zh-CN"/>
              </w:rPr>
              <w:t>承诺投资项目小计</w:t>
            </w:r>
          </w:p>
        </w:tc>
        <w:tc>
          <w:tcPr>
            <w:tcW w:w="340" w:type="pct"/>
            <w:gridSpan w:val="2"/>
            <w:shd w:val="clear" w:color="auto" w:fill="auto"/>
            <w:vAlign w:val="center"/>
          </w:tcPr>
          <w:p>
            <w:pPr>
              <w:keepNext w:val="0"/>
              <w:keepLines w:val="0"/>
              <w:pageBreakBefore w:val="0"/>
              <w:widowControl/>
              <w:suppressLineNumbers w:val="0"/>
              <w:kinsoku/>
              <w:wordWrap/>
              <w:overflowPunct/>
              <w:topLinePunct w:val="0"/>
              <w:bidi w:val="0"/>
              <w:snapToGrid/>
              <w:jc w:val="center"/>
              <w:textAlignment w:val="center"/>
              <w:rPr>
                <w:rFonts w:ascii="宋体" w:hAnsi="宋体" w:cs="宋体"/>
                <w:kern w:val="0"/>
                <w:sz w:val="18"/>
                <w:szCs w:val="18"/>
              </w:rPr>
            </w:pPr>
          </w:p>
        </w:tc>
        <w:tc>
          <w:tcPr>
            <w:tcW w:w="523" w:type="pct"/>
            <w:shd w:val="clear" w:color="auto" w:fill="auto"/>
            <w:vAlign w:val="center"/>
          </w:tcPr>
          <w:p>
            <w:pPr>
              <w:keepNext w:val="0"/>
              <w:keepLines w:val="0"/>
              <w:pageBreakBefore w:val="0"/>
              <w:widowControl/>
              <w:suppressLineNumbers w:val="0"/>
              <w:kinsoku/>
              <w:wordWrap/>
              <w:overflowPunct/>
              <w:topLinePunct w:val="0"/>
              <w:bidi w:val="0"/>
              <w:snapToGrid/>
              <w:jc w:val="right"/>
              <w:textAlignment w:val="center"/>
              <w:rPr>
                <w:rFonts w:hint="eastAsia" w:ascii="宋体" w:hAnsi="宋体" w:eastAsia="宋体" w:cs="宋体"/>
                <w:kern w:val="0"/>
                <w:sz w:val="18"/>
                <w:szCs w:val="18"/>
              </w:rPr>
            </w:pPr>
            <w:r>
              <w:rPr>
                <w:rFonts w:hint="default" w:ascii="宋体" w:hAnsi="宋体" w:cs="宋体"/>
                <w:kern w:val="0"/>
                <w:sz w:val="18"/>
                <w:szCs w:val="18"/>
                <w:lang w:val="en-US" w:eastAsia="zh-CN"/>
              </w:rPr>
              <w:t>459,804,693.84</w:t>
            </w:r>
          </w:p>
        </w:tc>
        <w:tc>
          <w:tcPr>
            <w:tcW w:w="521" w:type="pct"/>
            <w:shd w:val="clear" w:color="auto" w:fill="auto"/>
            <w:vAlign w:val="center"/>
          </w:tcPr>
          <w:p>
            <w:pPr>
              <w:keepNext w:val="0"/>
              <w:keepLines w:val="0"/>
              <w:pageBreakBefore w:val="0"/>
              <w:widowControl/>
              <w:suppressLineNumbers w:val="0"/>
              <w:kinsoku/>
              <w:wordWrap/>
              <w:overflowPunct/>
              <w:topLinePunct w:val="0"/>
              <w:bidi w:val="0"/>
              <w:snapToGrid/>
              <w:jc w:val="right"/>
              <w:textAlignment w:val="center"/>
              <w:rPr>
                <w:rFonts w:hint="eastAsia" w:ascii="宋体" w:hAnsi="宋体" w:eastAsia="宋体" w:cs="宋体"/>
                <w:kern w:val="0"/>
                <w:sz w:val="18"/>
                <w:szCs w:val="18"/>
                <w:highlight w:val="none"/>
              </w:rPr>
            </w:pPr>
            <w:r>
              <w:rPr>
                <w:rFonts w:hint="default" w:ascii="宋体" w:hAnsi="宋体" w:cs="宋体"/>
                <w:kern w:val="0"/>
                <w:sz w:val="18"/>
                <w:szCs w:val="18"/>
                <w:highlight w:val="none"/>
                <w:lang w:val="en-US" w:eastAsia="zh-CN"/>
              </w:rPr>
              <w:t>459,804,693.84</w:t>
            </w:r>
          </w:p>
        </w:tc>
        <w:tc>
          <w:tcPr>
            <w:tcW w:w="521" w:type="pct"/>
            <w:shd w:val="clear" w:color="auto" w:fill="auto"/>
            <w:vAlign w:val="center"/>
          </w:tcPr>
          <w:p>
            <w:pPr>
              <w:keepNext w:val="0"/>
              <w:keepLines w:val="0"/>
              <w:pageBreakBefore w:val="0"/>
              <w:widowControl/>
              <w:suppressLineNumbers w:val="0"/>
              <w:kinsoku/>
              <w:wordWrap/>
              <w:overflowPunct/>
              <w:topLinePunct w:val="0"/>
              <w:bidi w:val="0"/>
              <w:snapToGrid/>
              <w:jc w:val="righ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default" w:ascii="宋体" w:hAnsi="宋体" w:cs="宋体"/>
                <w:kern w:val="0"/>
                <w:sz w:val="18"/>
                <w:szCs w:val="18"/>
                <w:highlight w:val="none"/>
                <w:lang w:val="en-US" w:eastAsia="zh-CN"/>
              </w:rPr>
              <w:t>4</w:t>
            </w:r>
            <w:r>
              <w:rPr>
                <w:rFonts w:hint="eastAsia" w:ascii="宋体" w:hAnsi="宋体" w:cs="宋体"/>
                <w:kern w:val="0"/>
                <w:sz w:val="18"/>
                <w:szCs w:val="18"/>
                <w:highlight w:val="none"/>
                <w:lang w:val="en-US" w:eastAsia="zh-CN"/>
              </w:rPr>
              <w:t>61</w:t>
            </w:r>
            <w:r>
              <w:rPr>
                <w:rFonts w:hint="default" w:ascii="宋体" w:hAnsi="宋体" w:cs="宋体"/>
                <w:kern w:val="0"/>
                <w:sz w:val="18"/>
                <w:szCs w:val="18"/>
                <w:highlight w:val="none"/>
                <w:lang w:val="en-US" w:eastAsia="zh-CN"/>
              </w:rPr>
              <w:t>,</w:t>
            </w:r>
            <w:r>
              <w:rPr>
                <w:rFonts w:hint="eastAsia" w:ascii="宋体" w:hAnsi="宋体" w:cs="宋体"/>
                <w:kern w:val="0"/>
                <w:sz w:val="18"/>
                <w:szCs w:val="18"/>
                <w:highlight w:val="none"/>
                <w:lang w:val="en-US" w:eastAsia="zh-CN"/>
              </w:rPr>
              <w:t>724</w:t>
            </w:r>
            <w:r>
              <w:rPr>
                <w:rFonts w:hint="default" w:ascii="宋体" w:hAnsi="宋体" w:cs="宋体"/>
                <w:kern w:val="0"/>
                <w:sz w:val="18"/>
                <w:szCs w:val="18"/>
                <w:highlight w:val="none"/>
                <w:lang w:val="en-US" w:eastAsia="zh-CN"/>
              </w:rPr>
              <w:t>,</w:t>
            </w:r>
            <w:r>
              <w:rPr>
                <w:rFonts w:hint="eastAsia" w:ascii="宋体" w:hAnsi="宋体" w:cs="宋体"/>
                <w:kern w:val="0"/>
                <w:sz w:val="18"/>
                <w:szCs w:val="18"/>
                <w:highlight w:val="none"/>
                <w:lang w:val="en-US" w:eastAsia="zh-CN"/>
              </w:rPr>
              <w:t>997</w:t>
            </w:r>
            <w:r>
              <w:rPr>
                <w:rFonts w:hint="default" w:ascii="宋体" w:hAnsi="宋体" w:cs="宋体"/>
                <w:kern w:val="0"/>
                <w:sz w:val="18"/>
                <w:szCs w:val="18"/>
                <w:highlight w:val="none"/>
                <w:lang w:val="en-US" w:eastAsia="zh-CN"/>
              </w:rPr>
              <w:t>.</w:t>
            </w:r>
            <w:r>
              <w:rPr>
                <w:rFonts w:hint="eastAsia" w:ascii="宋体" w:hAnsi="宋体" w:cs="宋体"/>
                <w:kern w:val="0"/>
                <w:sz w:val="18"/>
                <w:szCs w:val="18"/>
                <w:highlight w:val="none"/>
                <w:lang w:val="en-US" w:eastAsia="zh-CN"/>
              </w:rPr>
              <w:t>37</w:t>
            </w:r>
          </w:p>
        </w:tc>
        <w:tc>
          <w:tcPr>
            <w:tcW w:w="520" w:type="pct"/>
            <w:shd w:val="clear" w:color="auto" w:fill="auto"/>
            <w:vAlign w:val="center"/>
          </w:tcPr>
          <w:p>
            <w:pPr>
              <w:keepNext w:val="0"/>
              <w:keepLines w:val="0"/>
              <w:pageBreakBefore w:val="0"/>
              <w:widowControl/>
              <w:suppressLineNumbers w:val="0"/>
              <w:kinsoku/>
              <w:wordWrap/>
              <w:overflowPunct/>
              <w:topLinePunct w:val="0"/>
              <w:bidi w:val="0"/>
              <w:snapToGrid/>
              <w:jc w:val="righ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default" w:ascii="宋体" w:hAnsi="宋体" w:cs="宋体"/>
                <w:kern w:val="0"/>
                <w:sz w:val="18"/>
                <w:szCs w:val="18"/>
                <w:highlight w:val="none"/>
                <w:lang w:val="en-US" w:eastAsia="zh-CN"/>
              </w:rPr>
              <w:t>4</w:t>
            </w:r>
            <w:r>
              <w:rPr>
                <w:rFonts w:hint="eastAsia" w:ascii="宋体" w:hAnsi="宋体" w:cs="宋体"/>
                <w:kern w:val="0"/>
                <w:sz w:val="18"/>
                <w:szCs w:val="18"/>
                <w:highlight w:val="none"/>
                <w:lang w:val="en-US" w:eastAsia="zh-CN"/>
              </w:rPr>
              <w:t>61</w:t>
            </w:r>
            <w:r>
              <w:rPr>
                <w:rFonts w:hint="default" w:ascii="宋体" w:hAnsi="宋体" w:cs="宋体"/>
                <w:kern w:val="0"/>
                <w:sz w:val="18"/>
                <w:szCs w:val="18"/>
                <w:highlight w:val="none"/>
                <w:lang w:val="en-US" w:eastAsia="zh-CN"/>
              </w:rPr>
              <w:t>,</w:t>
            </w:r>
            <w:r>
              <w:rPr>
                <w:rFonts w:hint="eastAsia" w:ascii="宋体" w:hAnsi="宋体" w:cs="宋体"/>
                <w:kern w:val="0"/>
                <w:sz w:val="18"/>
                <w:szCs w:val="18"/>
                <w:highlight w:val="none"/>
                <w:lang w:val="en-US" w:eastAsia="zh-CN"/>
              </w:rPr>
              <w:t>724</w:t>
            </w:r>
            <w:r>
              <w:rPr>
                <w:rFonts w:hint="default" w:ascii="宋体" w:hAnsi="宋体" w:cs="宋体"/>
                <w:kern w:val="0"/>
                <w:sz w:val="18"/>
                <w:szCs w:val="18"/>
                <w:highlight w:val="none"/>
                <w:lang w:val="en-US" w:eastAsia="zh-CN"/>
              </w:rPr>
              <w:t>,</w:t>
            </w:r>
            <w:r>
              <w:rPr>
                <w:rFonts w:hint="eastAsia" w:ascii="宋体" w:hAnsi="宋体" w:cs="宋体"/>
                <w:kern w:val="0"/>
                <w:sz w:val="18"/>
                <w:szCs w:val="18"/>
                <w:highlight w:val="none"/>
                <w:lang w:val="en-US" w:eastAsia="zh-CN"/>
              </w:rPr>
              <w:t>997</w:t>
            </w:r>
            <w:r>
              <w:rPr>
                <w:rFonts w:hint="default" w:ascii="宋体" w:hAnsi="宋体" w:cs="宋体"/>
                <w:kern w:val="0"/>
                <w:sz w:val="18"/>
                <w:szCs w:val="18"/>
                <w:highlight w:val="none"/>
                <w:lang w:val="en-US" w:eastAsia="zh-CN"/>
              </w:rPr>
              <w:t>.</w:t>
            </w:r>
            <w:r>
              <w:rPr>
                <w:rFonts w:hint="eastAsia" w:ascii="宋体" w:hAnsi="宋体" w:cs="宋体"/>
                <w:kern w:val="0"/>
                <w:sz w:val="18"/>
                <w:szCs w:val="18"/>
                <w:highlight w:val="none"/>
                <w:lang w:val="en-US" w:eastAsia="zh-CN"/>
              </w:rPr>
              <w:t>37</w:t>
            </w:r>
          </w:p>
        </w:tc>
        <w:tc>
          <w:tcPr>
            <w:tcW w:w="437" w:type="pct"/>
            <w:shd w:val="clear" w:color="auto" w:fill="auto"/>
            <w:vAlign w:val="center"/>
          </w:tcPr>
          <w:p>
            <w:pPr>
              <w:keepNext w:val="0"/>
              <w:keepLines w:val="0"/>
              <w:pageBreakBefore w:val="0"/>
              <w:widowControl/>
              <w:suppressLineNumbers w:val="0"/>
              <w:kinsoku/>
              <w:wordWrap/>
              <w:overflowPunct/>
              <w:topLinePunct w:val="0"/>
              <w:bidi w:val="0"/>
              <w:snapToGrid/>
              <w:jc w:val="right"/>
              <w:textAlignment w:val="center"/>
              <w:rPr>
                <w:rFonts w:hint="default" w:ascii="宋体" w:hAnsi="宋体" w:eastAsia="宋体" w:cs="宋体"/>
                <w:kern w:val="0"/>
                <w:sz w:val="18"/>
                <w:szCs w:val="18"/>
                <w:highlight w:val="none"/>
                <w:lang w:val="en-US"/>
              </w:rPr>
            </w:pPr>
            <w:r>
              <w:rPr>
                <w:rFonts w:hint="eastAsia" w:ascii="宋体" w:hAnsi="宋体" w:cs="宋体"/>
                <w:i w:val="0"/>
                <w:iCs w:val="0"/>
                <w:color w:val="000000"/>
                <w:kern w:val="0"/>
                <w:sz w:val="18"/>
                <w:szCs w:val="18"/>
                <w:highlight w:val="none"/>
                <w:u w:val="none"/>
                <w:lang w:val="en-US" w:eastAsia="zh-CN" w:bidi="ar"/>
              </w:rPr>
              <w:t>100.00</w:t>
            </w:r>
          </w:p>
        </w:tc>
        <w:tc>
          <w:tcPr>
            <w:tcW w:w="494" w:type="pct"/>
            <w:shd w:val="clear" w:color="auto" w:fill="auto"/>
            <w:vAlign w:val="center"/>
          </w:tcPr>
          <w:p>
            <w:pPr>
              <w:keepNext w:val="0"/>
              <w:keepLines w:val="0"/>
              <w:pageBreakBefore w:val="0"/>
              <w:widowControl/>
              <w:suppressLineNumbers w:val="0"/>
              <w:kinsoku/>
              <w:wordWrap/>
              <w:overflowPunct/>
              <w:topLinePunct w:val="0"/>
              <w:bidi w:val="0"/>
              <w:snapToGrid/>
              <w:jc w:val="left"/>
              <w:rPr>
                <w:rFonts w:hint="eastAsia" w:ascii="宋体" w:hAnsi="宋体" w:eastAsia="宋体" w:cs="宋体"/>
                <w:kern w:val="0"/>
                <w:sz w:val="18"/>
                <w:szCs w:val="18"/>
              </w:rPr>
            </w:pPr>
          </w:p>
        </w:tc>
        <w:tc>
          <w:tcPr>
            <w:tcW w:w="372" w:type="pct"/>
            <w:shd w:val="clear" w:color="auto" w:fill="auto"/>
            <w:vAlign w:val="center"/>
          </w:tcPr>
          <w:p>
            <w:pPr>
              <w:keepNext w:val="0"/>
              <w:keepLines w:val="0"/>
              <w:pageBreakBefore w:val="0"/>
              <w:widowControl/>
              <w:suppressLineNumbers w:val="0"/>
              <w:kinsoku/>
              <w:wordWrap/>
              <w:overflowPunct/>
              <w:topLinePunct w:val="0"/>
              <w:bidi w:val="0"/>
              <w:snapToGrid/>
              <w:jc w:val="center"/>
              <w:rPr>
                <w:rFonts w:ascii="宋体" w:hAnsi="宋体" w:cs="宋体"/>
                <w:kern w:val="0"/>
                <w:sz w:val="18"/>
                <w:szCs w:val="18"/>
              </w:rPr>
            </w:pPr>
          </w:p>
        </w:tc>
        <w:tc>
          <w:tcPr>
            <w:tcW w:w="315" w:type="pct"/>
            <w:shd w:val="clear" w:color="auto" w:fill="auto"/>
            <w:vAlign w:val="center"/>
          </w:tcPr>
          <w:p>
            <w:pPr>
              <w:keepNext w:val="0"/>
              <w:keepLines w:val="0"/>
              <w:pageBreakBefore w:val="0"/>
              <w:widowControl/>
              <w:suppressLineNumbers w:val="0"/>
              <w:kinsoku/>
              <w:wordWrap/>
              <w:overflowPunct/>
              <w:topLinePunct w:val="0"/>
              <w:bidi w:val="0"/>
              <w:snapToGrid/>
              <w:jc w:val="center"/>
              <w:rPr>
                <w:rFonts w:ascii="宋体" w:hAnsi="宋体" w:cs="宋体"/>
                <w:kern w:val="0"/>
                <w:sz w:val="18"/>
                <w:szCs w:val="18"/>
              </w:rPr>
            </w:pPr>
          </w:p>
        </w:tc>
        <w:tc>
          <w:tcPr>
            <w:tcW w:w="401" w:type="pct"/>
            <w:shd w:val="clear" w:color="auto" w:fill="auto"/>
            <w:vAlign w:val="center"/>
          </w:tcPr>
          <w:p>
            <w:pPr>
              <w:keepNext w:val="0"/>
              <w:keepLines w:val="0"/>
              <w:pageBreakBefore w:val="0"/>
              <w:kinsoku/>
              <w:wordWrap/>
              <w:overflowPunct/>
              <w:topLinePunct w:val="0"/>
              <w:bidi w:val="0"/>
              <w:adjustRightInd w:val="0"/>
              <w:snapToGrid/>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552" w:type="pct"/>
            <w:shd w:val="clear" w:color="auto" w:fill="auto"/>
            <w:vAlign w:val="center"/>
          </w:tcPr>
          <w:p>
            <w:pPr>
              <w:keepNext w:val="0"/>
              <w:keepLines w:val="0"/>
              <w:pageBreakBefore w:val="0"/>
              <w:kinsoku/>
              <w:wordWrap/>
              <w:overflowPunct/>
              <w:topLinePunct w:val="0"/>
              <w:bidi w:val="0"/>
              <w:adjustRightInd w:val="0"/>
              <w:snapToGrid/>
              <w:jc w:val="left"/>
              <w:rPr>
                <w:rFonts w:ascii="宋体" w:hAnsi="宋体" w:cs="宋体"/>
                <w:kern w:val="0"/>
                <w:sz w:val="18"/>
                <w:szCs w:val="18"/>
              </w:rPr>
            </w:pPr>
            <w:r>
              <w:rPr>
                <w:rFonts w:hint="eastAsia" w:ascii="宋体" w:hAnsi="宋体" w:cs="宋体"/>
                <w:kern w:val="0"/>
                <w:sz w:val="18"/>
                <w:szCs w:val="18"/>
                <w:lang w:val="en-US" w:eastAsia="zh-CN"/>
              </w:rPr>
              <w:t>超募资金投向</w:t>
            </w:r>
          </w:p>
        </w:tc>
        <w:tc>
          <w:tcPr>
            <w:tcW w:w="340" w:type="pct"/>
            <w:gridSpan w:val="2"/>
            <w:shd w:val="clear" w:color="auto" w:fill="auto"/>
            <w:vAlign w:val="center"/>
          </w:tcPr>
          <w:p>
            <w:pPr>
              <w:keepNext w:val="0"/>
              <w:keepLines w:val="0"/>
              <w:pageBreakBefore w:val="0"/>
              <w:kinsoku/>
              <w:wordWrap/>
              <w:overflowPunct/>
              <w:topLinePunct w:val="0"/>
              <w:bidi w:val="0"/>
              <w:adjustRightInd w:val="0"/>
              <w:snapToGrid/>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不适用</w:t>
            </w:r>
          </w:p>
        </w:tc>
        <w:tc>
          <w:tcPr>
            <w:tcW w:w="523" w:type="pct"/>
            <w:shd w:val="clear" w:color="auto" w:fill="auto"/>
            <w:vAlign w:val="center"/>
          </w:tcPr>
          <w:p>
            <w:pPr>
              <w:keepNext w:val="0"/>
              <w:keepLines w:val="0"/>
              <w:pageBreakBefore w:val="0"/>
              <w:widowControl/>
              <w:suppressLineNumbers w:val="0"/>
              <w:kinsoku/>
              <w:wordWrap/>
              <w:overflowPunct/>
              <w:topLinePunct w:val="0"/>
              <w:bidi w:val="0"/>
              <w:snapToGrid/>
              <w:jc w:val="right"/>
              <w:textAlignment w:val="center"/>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521" w:type="pct"/>
            <w:shd w:val="clear" w:color="auto" w:fill="auto"/>
            <w:vAlign w:val="center"/>
          </w:tcPr>
          <w:p>
            <w:pPr>
              <w:keepNext w:val="0"/>
              <w:keepLines w:val="0"/>
              <w:pageBreakBefore w:val="0"/>
              <w:widowControl/>
              <w:suppressLineNumbers w:val="0"/>
              <w:kinsoku/>
              <w:wordWrap/>
              <w:overflowPunct/>
              <w:topLinePunct w:val="0"/>
              <w:bidi w:val="0"/>
              <w:snapToGrid/>
              <w:jc w:val="right"/>
              <w:textAlignment w:val="center"/>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521" w:type="pct"/>
            <w:shd w:val="clear" w:color="auto" w:fill="auto"/>
            <w:vAlign w:val="center"/>
          </w:tcPr>
          <w:p>
            <w:pPr>
              <w:keepNext w:val="0"/>
              <w:keepLines w:val="0"/>
              <w:pageBreakBefore w:val="0"/>
              <w:widowControl/>
              <w:suppressLineNumbers w:val="0"/>
              <w:kinsoku/>
              <w:wordWrap/>
              <w:overflowPunct/>
              <w:topLinePunct w:val="0"/>
              <w:bidi w:val="0"/>
              <w:snapToGrid/>
              <w:jc w:val="right"/>
              <w:textAlignment w:val="center"/>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520" w:type="pct"/>
            <w:shd w:val="clear" w:color="auto" w:fill="auto"/>
            <w:vAlign w:val="center"/>
          </w:tcPr>
          <w:p>
            <w:pPr>
              <w:keepNext w:val="0"/>
              <w:keepLines w:val="0"/>
              <w:pageBreakBefore w:val="0"/>
              <w:widowControl/>
              <w:suppressLineNumbers w:val="0"/>
              <w:kinsoku/>
              <w:wordWrap/>
              <w:overflowPunct/>
              <w:topLinePunct w:val="0"/>
              <w:bidi w:val="0"/>
              <w:snapToGrid/>
              <w:jc w:val="right"/>
              <w:textAlignment w:val="center"/>
              <w:rPr>
                <w:rFonts w:hint="eastAsia" w:ascii="宋体" w:hAnsi="宋体" w:eastAsia="宋体" w:cs="宋体"/>
                <w:kern w:val="0"/>
                <w:sz w:val="18"/>
                <w:szCs w:val="18"/>
                <w:highlight w:val="none"/>
                <w:lang w:val="en-US"/>
              </w:rPr>
            </w:pPr>
            <w:r>
              <w:rPr>
                <w:rFonts w:hint="eastAsia" w:ascii="宋体" w:hAnsi="宋体" w:eastAsia="宋体" w:cs="宋体"/>
                <w:kern w:val="0"/>
                <w:sz w:val="18"/>
                <w:szCs w:val="18"/>
                <w:highlight w:val="none"/>
                <w:lang w:val="en-US"/>
              </w:rPr>
              <w:t>/</w:t>
            </w:r>
          </w:p>
        </w:tc>
        <w:tc>
          <w:tcPr>
            <w:tcW w:w="437" w:type="pct"/>
            <w:shd w:val="clear" w:color="auto" w:fill="auto"/>
            <w:vAlign w:val="center"/>
          </w:tcPr>
          <w:p>
            <w:pPr>
              <w:keepNext w:val="0"/>
              <w:keepLines w:val="0"/>
              <w:pageBreakBefore w:val="0"/>
              <w:widowControl/>
              <w:suppressLineNumbers w:val="0"/>
              <w:kinsoku/>
              <w:wordWrap/>
              <w:overflowPunct/>
              <w:topLinePunct w:val="0"/>
              <w:bidi w:val="0"/>
              <w:snapToGrid/>
              <w:jc w:val="right"/>
              <w:textAlignment w:val="center"/>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w:t>
            </w:r>
          </w:p>
        </w:tc>
        <w:tc>
          <w:tcPr>
            <w:tcW w:w="494" w:type="pct"/>
            <w:shd w:val="clear" w:color="auto" w:fill="auto"/>
            <w:vAlign w:val="center"/>
          </w:tcPr>
          <w:p>
            <w:pPr>
              <w:keepNext w:val="0"/>
              <w:keepLines w:val="0"/>
              <w:pageBreakBefore w:val="0"/>
              <w:kinsoku/>
              <w:wordWrap/>
              <w:overflowPunct/>
              <w:topLinePunct w:val="0"/>
              <w:bidi w:val="0"/>
              <w:adjustRightInd w:val="0"/>
              <w:snapToGrid/>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372" w:type="pct"/>
            <w:shd w:val="clear" w:color="auto" w:fill="auto"/>
            <w:vAlign w:val="center"/>
          </w:tcPr>
          <w:p>
            <w:pPr>
              <w:keepNext w:val="0"/>
              <w:keepLines w:val="0"/>
              <w:pageBreakBefore w:val="0"/>
              <w:kinsoku/>
              <w:wordWrap/>
              <w:overflowPunct/>
              <w:topLinePunct w:val="0"/>
              <w:bidi w:val="0"/>
              <w:adjustRightInd w:val="0"/>
              <w:snapToGrid/>
              <w:jc w:val="center"/>
              <w:rPr>
                <w:rFonts w:ascii="宋体" w:hAnsi="宋体" w:cs="宋体"/>
                <w:kern w:val="0"/>
                <w:sz w:val="18"/>
                <w:szCs w:val="18"/>
              </w:rPr>
            </w:pPr>
            <w:r>
              <w:rPr>
                <w:rFonts w:hint="eastAsia" w:ascii="宋体" w:hAnsi="宋体" w:cs="宋体"/>
                <w:kern w:val="0"/>
                <w:sz w:val="18"/>
                <w:szCs w:val="18"/>
              </w:rPr>
              <w:t>/</w:t>
            </w:r>
          </w:p>
        </w:tc>
        <w:tc>
          <w:tcPr>
            <w:tcW w:w="315" w:type="pct"/>
            <w:shd w:val="clear" w:color="auto" w:fill="auto"/>
            <w:vAlign w:val="center"/>
          </w:tcPr>
          <w:p>
            <w:pPr>
              <w:keepNext w:val="0"/>
              <w:keepLines w:val="0"/>
              <w:pageBreakBefore w:val="0"/>
              <w:kinsoku/>
              <w:wordWrap/>
              <w:overflowPunct/>
              <w:topLinePunct w:val="0"/>
              <w:bidi w:val="0"/>
              <w:adjustRightInd w:val="0"/>
              <w:snapToGrid/>
              <w:jc w:val="center"/>
              <w:rPr>
                <w:rFonts w:ascii="宋体" w:hAnsi="宋体" w:cs="宋体"/>
                <w:kern w:val="0"/>
                <w:sz w:val="18"/>
                <w:szCs w:val="18"/>
              </w:rPr>
            </w:pPr>
            <w:r>
              <w:rPr>
                <w:rFonts w:hint="eastAsia" w:ascii="宋体" w:hAnsi="宋体" w:cs="宋体"/>
                <w:kern w:val="0"/>
                <w:sz w:val="18"/>
                <w:szCs w:val="18"/>
              </w:rPr>
              <w:t>/</w:t>
            </w:r>
          </w:p>
        </w:tc>
        <w:tc>
          <w:tcPr>
            <w:tcW w:w="401" w:type="pct"/>
            <w:shd w:val="clear" w:color="auto" w:fill="auto"/>
            <w:vAlign w:val="center"/>
          </w:tcPr>
          <w:p>
            <w:pPr>
              <w:keepNext w:val="0"/>
              <w:keepLines w:val="0"/>
              <w:pageBreakBefore w:val="0"/>
              <w:kinsoku/>
              <w:wordWrap/>
              <w:overflowPunct/>
              <w:topLinePunct w:val="0"/>
              <w:bidi w:val="0"/>
              <w:adjustRightInd w:val="0"/>
              <w:snapToGrid/>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552" w:type="pct"/>
            <w:shd w:val="clear" w:color="auto" w:fill="auto"/>
            <w:vAlign w:val="center"/>
          </w:tcPr>
          <w:p>
            <w:pPr>
              <w:keepNext w:val="0"/>
              <w:keepLines w:val="0"/>
              <w:widowControl/>
              <w:suppressLineNumbers w:val="0"/>
              <w:jc w:val="left"/>
              <w:rPr>
                <w:rFonts w:hint="eastAsia" w:ascii="宋体" w:hAnsi="宋体" w:cs="宋体"/>
                <w:kern w:val="0"/>
                <w:sz w:val="18"/>
                <w:szCs w:val="18"/>
                <w:lang w:val="en-US" w:eastAsia="zh-CN"/>
              </w:rPr>
            </w:pPr>
            <w:r>
              <w:rPr>
                <w:rFonts w:hint="eastAsia" w:ascii="宋体" w:hAnsi="宋体" w:eastAsia="宋体" w:cs="宋体"/>
                <w:color w:val="000000"/>
                <w:kern w:val="0"/>
                <w:sz w:val="18"/>
                <w:szCs w:val="18"/>
                <w:lang w:val="en-US" w:eastAsia="zh-CN" w:bidi="ar"/>
              </w:rPr>
              <w:t>超募资金投向小计</w:t>
            </w:r>
          </w:p>
        </w:tc>
        <w:tc>
          <w:tcPr>
            <w:tcW w:w="340" w:type="pct"/>
            <w:gridSpan w:val="2"/>
            <w:shd w:val="clear" w:color="auto" w:fill="auto"/>
            <w:vAlign w:val="center"/>
          </w:tcPr>
          <w:p>
            <w:pPr>
              <w:keepNext w:val="0"/>
              <w:keepLines w:val="0"/>
              <w:pageBreakBefore w:val="0"/>
              <w:kinsoku/>
              <w:wordWrap/>
              <w:overflowPunct/>
              <w:topLinePunct w:val="0"/>
              <w:bidi w:val="0"/>
              <w:adjustRightInd w:val="0"/>
              <w:snapToGrid/>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不适用</w:t>
            </w:r>
          </w:p>
        </w:tc>
        <w:tc>
          <w:tcPr>
            <w:tcW w:w="523" w:type="pct"/>
            <w:shd w:val="clear" w:color="auto" w:fill="auto"/>
            <w:vAlign w:val="center"/>
          </w:tcPr>
          <w:p>
            <w:pPr>
              <w:keepNext w:val="0"/>
              <w:keepLines w:val="0"/>
              <w:pageBreakBefore w:val="0"/>
              <w:widowControl/>
              <w:suppressLineNumbers w:val="0"/>
              <w:kinsoku/>
              <w:wordWrap/>
              <w:overflowPunct/>
              <w:topLinePunct w:val="0"/>
              <w:bidi w:val="0"/>
              <w:snapToGrid/>
              <w:jc w:val="right"/>
              <w:textAlignment w:val="center"/>
              <w:rPr>
                <w:rFonts w:hint="eastAsia" w:ascii="宋体" w:hAnsi="宋体" w:eastAsia="宋体" w:cs="宋体"/>
                <w:kern w:val="0"/>
                <w:sz w:val="18"/>
                <w:szCs w:val="18"/>
              </w:rPr>
            </w:pPr>
            <w:r>
              <w:rPr>
                <w:rFonts w:hint="eastAsia"/>
              </w:rPr>
              <w:t>/</w:t>
            </w:r>
          </w:p>
        </w:tc>
        <w:tc>
          <w:tcPr>
            <w:tcW w:w="521" w:type="pct"/>
            <w:shd w:val="clear" w:color="auto" w:fill="auto"/>
            <w:vAlign w:val="center"/>
          </w:tcPr>
          <w:p>
            <w:pPr>
              <w:keepNext w:val="0"/>
              <w:keepLines w:val="0"/>
              <w:pageBreakBefore w:val="0"/>
              <w:widowControl/>
              <w:suppressLineNumbers w:val="0"/>
              <w:kinsoku/>
              <w:wordWrap/>
              <w:overflowPunct/>
              <w:topLinePunct w:val="0"/>
              <w:bidi w:val="0"/>
              <w:snapToGrid/>
              <w:jc w:val="right"/>
              <w:textAlignment w:val="center"/>
              <w:rPr>
                <w:rFonts w:hint="eastAsia" w:ascii="宋体" w:hAnsi="宋体" w:eastAsia="宋体" w:cs="宋体"/>
                <w:kern w:val="0"/>
                <w:sz w:val="18"/>
                <w:szCs w:val="18"/>
              </w:rPr>
            </w:pPr>
            <w:r>
              <w:rPr>
                <w:rFonts w:hint="eastAsia"/>
              </w:rPr>
              <w:t>/</w:t>
            </w:r>
          </w:p>
        </w:tc>
        <w:tc>
          <w:tcPr>
            <w:tcW w:w="521" w:type="pct"/>
            <w:shd w:val="clear" w:color="auto" w:fill="auto"/>
            <w:vAlign w:val="center"/>
          </w:tcPr>
          <w:p>
            <w:pPr>
              <w:keepNext w:val="0"/>
              <w:keepLines w:val="0"/>
              <w:pageBreakBefore w:val="0"/>
              <w:widowControl/>
              <w:suppressLineNumbers w:val="0"/>
              <w:kinsoku/>
              <w:wordWrap/>
              <w:overflowPunct/>
              <w:topLinePunct w:val="0"/>
              <w:bidi w:val="0"/>
              <w:snapToGrid/>
              <w:jc w:val="right"/>
              <w:textAlignment w:val="center"/>
              <w:rPr>
                <w:rFonts w:hint="eastAsia" w:ascii="宋体" w:hAnsi="宋体" w:eastAsia="宋体" w:cs="宋体"/>
                <w:kern w:val="0"/>
                <w:sz w:val="18"/>
                <w:szCs w:val="18"/>
              </w:rPr>
            </w:pPr>
            <w:r>
              <w:rPr>
                <w:rFonts w:hint="eastAsia"/>
              </w:rPr>
              <w:t>/</w:t>
            </w:r>
          </w:p>
        </w:tc>
        <w:tc>
          <w:tcPr>
            <w:tcW w:w="520" w:type="pct"/>
            <w:shd w:val="clear" w:color="auto" w:fill="auto"/>
            <w:vAlign w:val="center"/>
          </w:tcPr>
          <w:p>
            <w:pPr>
              <w:keepNext w:val="0"/>
              <w:keepLines w:val="0"/>
              <w:pageBreakBefore w:val="0"/>
              <w:widowControl/>
              <w:suppressLineNumbers w:val="0"/>
              <w:kinsoku/>
              <w:wordWrap/>
              <w:overflowPunct/>
              <w:topLinePunct w:val="0"/>
              <w:bidi w:val="0"/>
              <w:snapToGrid/>
              <w:jc w:val="right"/>
              <w:textAlignment w:val="center"/>
              <w:rPr>
                <w:rFonts w:hint="eastAsia" w:ascii="宋体" w:hAnsi="宋体" w:eastAsia="宋体" w:cs="宋体"/>
                <w:kern w:val="0"/>
                <w:sz w:val="18"/>
                <w:szCs w:val="18"/>
                <w:highlight w:val="none"/>
                <w:lang w:val="en-US"/>
              </w:rPr>
            </w:pPr>
            <w:r>
              <w:rPr>
                <w:rFonts w:hint="eastAsia"/>
              </w:rPr>
              <w:t>/</w:t>
            </w:r>
          </w:p>
        </w:tc>
        <w:tc>
          <w:tcPr>
            <w:tcW w:w="437" w:type="pct"/>
            <w:shd w:val="clear" w:color="auto" w:fill="auto"/>
            <w:vAlign w:val="center"/>
          </w:tcPr>
          <w:p>
            <w:pPr>
              <w:keepNext w:val="0"/>
              <w:keepLines w:val="0"/>
              <w:pageBreakBefore w:val="0"/>
              <w:widowControl/>
              <w:suppressLineNumbers w:val="0"/>
              <w:kinsoku/>
              <w:wordWrap/>
              <w:overflowPunct/>
              <w:topLinePunct w:val="0"/>
              <w:bidi w:val="0"/>
              <w:snapToGrid/>
              <w:jc w:val="right"/>
              <w:textAlignment w:val="center"/>
              <w:rPr>
                <w:rFonts w:hint="eastAsia" w:ascii="宋体" w:hAnsi="宋体" w:eastAsia="宋体" w:cs="宋体"/>
                <w:kern w:val="0"/>
                <w:sz w:val="18"/>
                <w:szCs w:val="18"/>
                <w:highlight w:val="none"/>
              </w:rPr>
            </w:pPr>
            <w:r>
              <w:rPr>
                <w:rFonts w:hint="eastAsia"/>
              </w:rPr>
              <w:t>/</w:t>
            </w:r>
          </w:p>
        </w:tc>
        <w:tc>
          <w:tcPr>
            <w:tcW w:w="494" w:type="pct"/>
            <w:shd w:val="clear" w:color="auto" w:fill="auto"/>
            <w:vAlign w:val="center"/>
          </w:tcPr>
          <w:p>
            <w:pPr>
              <w:keepNext w:val="0"/>
              <w:keepLines w:val="0"/>
              <w:pageBreakBefore w:val="0"/>
              <w:kinsoku/>
              <w:wordWrap/>
              <w:overflowPunct/>
              <w:topLinePunct w:val="0"/>
              <w:bidi w:val="0"/>
              <w:adjustRightInd w:val="0"/>
              <w:snapToGrid/>
              <w:jc w:val="center"/>
              <w:rPr>
                <w:rFonts w:hint="eastAsia" w:ascii="宋体" w:hAnsi="宋体" w:eastAsia="宋体" w:cs="宋体"/>
                <w:kern w:val="0"/>
                <w:sz w:val="18"/>
                <w:szCs w:val="18"/>
              </w:rPr>
            </w:pPr>
            <w:r>
              <w:rPr>
                <w:rFonts w:hint="eastAsia"/>
              </w:rPr>
              <w:t>/</w:t>
            </w:r>
          </w:p>
        </w:tc>
        <w:tc>
          <w:tcPr>
            <w:tcW w:w="372" w:type="pct"/>
            <w:shd w:val="clear" w:color="auto" w:fill="auto"/>
            <w:vAlign w:val="center"/>
          </w:tcPr>
          <w:p>
            <w:pPr>
              <w:keepNext w:val="0"/>
              <w:keepLines w:val="0"/>
              <w:pageBreakBefore w:val="0"/>
              <w:kinsoku/>
              <w:wordWrap/>
              <w:overflowPunct/>
              <w:topLinePunct w:val="0"/>
              <w:bidi w:val="0"/>
              <w:adjustRightInd w:val="0"/>
              <w:snapToGrid/>
              <w:jc w:val="center"/>
              <w:rPr>
                <w:rFonts w:ascii="宋体" w:hAnsi="宋体" w:cs="宋体"/>
                <w:kern w:val="0"/>
                <w:sz w:val="18"/>
                <w:szCs w:val="18"/>
              </w:rPr>
            </w:pPr>
            <w:r>
              <w:rPr>
                <w:rFonts w:hint="eastAsia"/>
              </w:rPr>
              <w:t>/</w:t>
            </w:r>
          </w:p>
        </w:tc>
        <w:tc>
          <w:tcPr>
            <w:tcW w:w="315" w:type="pct"/>
            <w:shd w:val="clear" w:color="auto" w:fill="auto"/>
            <w:vAlign w:val="center"/>
          </w:tcPr>
          <w:p>
            <w:pPr>
              <w:keepNext w:val="0"/>
              <w:keepLines w:val="0"/>
              <w:pageBreakBefore w:val="0"/>
              <w:kinsoku/>
              <w:wordWrap/>
              <w:overflowPunct/>
              <w:topLinePunct w:val="0"/>
              <w:bidi w:val="0"/>
              <w:adjustRightInd w:val="0"/>
              <w:snapToGrid/>
              <w:jc w:val="center"/>
              <w:rPr>
                <w:rFonts w:hint="eastAsia" w:ascii="宋体" w:hAnsi="宋体" w:cs="宋体"/>
                <w:kern w:val="0"/>
                <w:sz w:val="18"/>
                <w:szCs w:val="18"/>
                <w:lang w:val="en-US" w:eastAsia="zh-CN"/>
              </w:rPr>
            </w:pPr>
            <w:r>
              <w:rPr>
                <w:rFonts w:hint="eastAsia"/>
              </w:rPr>
              <w:t>/</w:t>
            </w:r>
          </w:p>
        </w:tc>
        <w:tc>
          <w:tcPr>
            <w:tcW w:w="401" w:type="pct"/>
            <w:shd w:val="clear" w:color="auto" w:fill="auto"/>
            <w:vAlign w:val="center"/>
          </w:tcPr>
          <w:p>
            <w:pPr>
              <w:keepNext w:val="0"/>
              <w:keepLines w:val="0"/>
              <w:pageBreakBefore w:val="0"/>
              <w:kinsoku/>
              <w:wordWrap/>
              <w:overflowPunct/>
              <w:topLinePunct w:val="0"/>
              <w:bidi w:val="0"/>
              <w:adjustRightInd w:val="0"/>
              <w:snapToGrid/>
              <w:jc w:val="center"/>
              <w:rPr>
                <w:rFonts w:hint="eastAsia" w:ascii="宋体" w:hAnsi="宋体" w:cs="宋体"/>
                <w:kern w:val="0"/>
                <w:sz w:val="18"/>
                <w:szCs w:val="18"/>
                <w:lang w:val="en-US" w:eastAsia="zh-CN"/>
              </w:rPr>
            </w:pPr>
            <w:r>
              <w:rPr>
                <w:rFonts w:hint="eastAsia"/>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552" w:type="pct"/>
            <w:shd w:val="clear" w:color="auto" w:fill="auto"/>
            <w:vAlign w:val="center"/>
          </w:tcPr>
          <w:p>
            <w:pPr>
              <w:keepNext w:val="0"/>
              <w:keepLines w:val="0"/>
              <w:widowControl/>
              <w:suppressLineNumbers w:val="0"/>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 xml:space="preserve">  </w:t>
            </w:r>
            <w:r>
              <w:rPr>
                <w:rFonts w:hint="eastAsia" w:ascii="宋体" w:hAnsi="宋体" w:cs="宋体"/>
                <w:kern w:val="0"/>
                <w:sz w:val="18"/>
                <w:szCs w:val="18"/>
              </w:rPr>
              <w:t>合</w:t>
            </w:r>
            <w:r>
              <w:rPr>
                <w:rFonts w:ascii="宋体" w:hAnsi="宋体" w:cs="宋体"/>
                <w:kern w:val="0"/>
                <w:sz w:val="18"/>
                <w:szCs w:val="18"/>
              </w:rPr>
              <w:t xml:space="preserve">  计</w:t>
            </w:r>
          </w:p>
        </w:tc>
        <w:tc>
          <w:tcPr>
            <w:tcW w:w="340" w:type="pct"/>
            <w:gridSpan w:val="2"/>
            <w:shd w:val="clear" w:color="auto" w:fill="auto"/>
            <w:vAlign w:val="center"/>
          </w:tcPr>
          <w:p>
            <w:pPr>
              <w:keepNext w:val="0"/>
              <w:keepLines w:val="0"/>
              <w:pageBreakBefore w:val="0"/>
              <w:kinsoku/>
              <w:wordWrap/>
              <w:overflowPunct/>
              <w:topLinePunct w:val="0"/>
              <w:bidi w:val="0"/>
              <w:adjustRightInd w:val="0"/>
              <w:snapToGrid/>
              <w:jc w:val="left"/>
              <w:rPr>
                <w:rFonts w:hint="eastAsia" w:ascii="宋体" w:hAnsi="宋体" w:cs="宋体"/>
                <w:kern w:val="0"/>
                <w:sz w:val="18"/>
                <w:szCs w:val="18"/>
                <w:lang w:val="en-US" w:eastAsia="zh-CN"/>
              </w:rPr>
            </w:pPr>
          </w:p>
        </w:tc>
        <w:tc>
          <w:tcPr>
            <w:tcW w:w="523" w:type="pct"/>
            <w:shd w:val="clear" w:color="auto" w:fill="auto"/>
            <w:vAlign w:val="center"/>
          </w:tcPr>
          <w:p>
            <w:pPr>
              <w:keepNext w:val="0"/>
              <w:keepLines w:val="0"/>
              <w:pageBreakBefore w:val="0"/>
              <w:widowControl/>
              <w:suppressLineNumbers w:val="0"/>
              <w:kinsoku/>
              <w:wordWrap/>
              <w:overflowPunct/>
              <w:topLinePunct w:val="0"/>
              <w:bidi w:val="0"/>
              <w:snapToGrid/>
              <w:jc w:val="right"/>
              <w:textAlignment w:val="center"/>
              <w:rPr>
                <w:rFonts w:hint="eastAsia" w:ascii="宋体" w:hAnsi="宋体" w:eastAsia="宋体" w:cs="宋体"/>
                <w:kern w:val="0"/>
                <w:sz w:val="18"/>
                <w:szCs w:val="18"/>
                <w:lang w:val="en-US" w:eastAsia="zh-CN" w:bidi="ar-SA"/>
              </w:rPr>
            </w:pPr>
            <w:r>
              <w:rPr>
                <w:rFonts w:hint="default" w:ascii="宋体" w:hAnsi="宋体" w:cs="宋体"/>
                <w:kern w:val="0"/>
                <w:sz w:val="18"/>
                <w:szCs w:val="18"/>
                <w:lang w:val="en-US" w:eastAsia="zh-CN"/>
              </w:rPr>
              <w:t>459,804,693.84</w:t>
            </w:r>
          </w:p>
        </w:tc>
        <w:tc>
          <w:tcPr>
            <w:tcW w:w="521" w:type="pct"/>
            <w:shd w:val="clear" w:color="auto" w:fill="auto"/>
            <w:vAlign w:val="center"/>
          </w:tcPr>
          <w:p>
            <w:pPr>
              <w:keepNext w:val="0"/>
              <w:keepLines w:val="0"/>
              <w:pageBreakBefore w:val="0"/>
              <w:widowControl/>
              <w:suppressLineNumbers w:val="0"/>
              <w:kinsoku/>
              <w:wordWrap/>
              <w:overflowPunct/>
              <w:topLinePunct w:val="0"/>
              <w:bidi w:val="0"/>
              <w:snapToGrid/>
              <w:jc w:val="right"/>
              <w:textAlignment w:val="center"/>
              <w:rPr>
                <w:rFonts w:hint="eastAsia" w:ascii="宋体" w:hAnsi="宋体" w:eastAsia="宋体" w:cs="宋体"/>
                <w:kern w:val="0"/>
                <w:sz w:val="18"/>
                <w:szCs w:val="18"/>
                <w:lang w:val="en-US" w:eastAsia="zh-CN" w:bidi="ar-SA"/>
              </w:rPr>
            </w:pPr>
            <w:r>
              <w:rPr>
                <w:rFonts w:hint="default" w:ascii="宋体" w:hAnsi="宋体" w:cs="宋体"/>
                <w:kern w:val="0"/>
                <w:sz w:val="18"/>
                <w:szCs w:val="18"/>
                <w:lang w:val="en-US" w:eastAsia="zh-CN"/>
              </w:rPr>
              <w:t>459,804,693.84</w:t>
            </w:r>
          </w:p>
        </w:tc>
        <w:tc>
          <w:tcPr>
            <w:tcW w:w="521" w:type="pct"/>
            <w:shd w:val="clear" w:color="auto" w:fill="auto"/>
            <w:vAlign w:val="center"/>
          </w:tcPr>
          <w:p>
            <w:pPr>
              <w:keepNext w:val="0"/>
              <w:keepLines w:val="0"/>
              <w:pageBreakBefore w:val="0"/>
              <w:widowControl/>
              <w:suppressLineNumbers w:val="0"/>
              <w:kinsoku/>
              <w:wordWrap/>
              <w:overflowPunct/>
              <w:topLinePunct w:val="0"/>
              <w:bidi w:val="0"/>
              <w:snapToGrid/>
              <w:jc w:val="right"/>
              <w:textAlignment w:val="center"/>
              <w:rPr>
                <w:rFonts w:hint="eastAsia" w:ascii="宋体" w:hAnsi="宋体" w:eastAsia="宋体" w:cs="宋体"/>
                <w:i w:val="0"/>
                <w:iCs w:val="0"/>
                <w:color w:val="000000"/>
                <w:kern w:val="2"/>
                <w:sz w:val="24"/>
                <w:szCs w:val="24"/>
                <w:u w:val="none"/>
                <w:lang w:val="en-US" w:eastAsia="zh-CN" w:bidi="ar-SA"/>
              </w:rPr>
            </w:pPr>
            <w:r>
              <w:rPr>
                <w:rFonts w:hint="default" w:ascii="宋体" w:hAnsi="宋体" w:cs="宋体"/>
                <w:kern w:val="0"/>
                <w:sz w:val="18"/>
                <w:szCs w:val="18"/>
                <w:highlight w:val="none"/>
                <w:lang w:val="en-US" w:eastAsia="zh-CN"/>
              </w:rPr>
              <w:t>4</w:t>
            </w:r>
            <w:r>
              <w:rPr>
                <w:rFonts w:hint="eastAsia" w:ascii="宋体" w:hAnsi="宋体" w:cs="宋体"/>
                <w:kern w:val="0"/>
                <w:sz w:val="18"/>
                <w:szCs w:val="18"/>
                <w:highlight w:val="none"/>
                <w:lang w:val="en-US" w:eastAsia="zh-CN"/>
              </w:rPr>
              <w:t>61</w:t>
            </w:r>
            <w:r>
              <w:rPr>
                <w:rFonts w:hint="default" w:ascii="宋体" w:hAnsi="宋体" w:cs="宋体"/>
                <w:kern w:val="0"/>
                <w:sz w:val="18"/>
                <w:szCs w:val="18"/>
                <w:highlight w:val="none"/>
                <w:lang w:val="en-US" w:eastAsia="zh-CN"/>
              </w:rPr>
              <w:t>,</w:t>
            </w:r>
            <w:r>
              <w:rPr>
                <w:rFonts w:hint="eastAsia" w:ascii="宋体" w:hAnsi="宋体" w:cs="宋体"/>
                <w:kern w:val="0"/>
                <w:sz w:val="18"/>
                <w:szCs w:val="18"/>
                <w:highlight w:val="none"/>
                <w:lang w:val="en-US" w:eastAsia="zh-CN"/>
              </w:rPr>
              <w:t>724</w:t>
            </w:r>
            <w:r>
              <w:rPr>
                <w:rFonts w:hint="default" w:ascii="宋体" w:hAnsi="宋体" w:cs="宋体"/>
                <w:kern w:val="0"/>
                <w:sz w:val="18"/>
                <w:szCs w:val="18"/>
                <w:highlight w:val="none"/>
                <w:lang w:val="en-US" w:eastAsia="zh-CN"/>
              </w:rPr>
              <w:t>,</w:t>
            </w:r>
            <w:r>
              <w:rPr>
                <w:rFonts w:hint="eastAsia" w:ascii="宋体" w:hAnsi="宋体" w:cs="宋体"/>
                <w:kern w:val="0"/>
                <w:sz w:val="18"/>
                <w:szCs w:val="18"/>
                <w:highlight w:val="none"/>
                <w:lang w:val="en-US" w:eastAsia="zh-CN"/>
              </w:rPr>
              <w:t>997</w:t>
            </w:r>
            <w:r>
              <w:rPr>
                <w:rFonts w:hint="default" w:ascii="宋体" w:hAnsi="宋体" w:cs="宋体"/>
                <w:kern w:val="0"/>
                <w:sz w:val="18"/>
                <w:szCs w:val="18"/>
                <w:highlight w:val="none"/>
                <w:lang w:val="en-US" w:eastAsia="zh-CN"/>
              </w:rPr>
              <w:t>.</w:t>
            </w:r>
            <w:r>
              <w:rPr>
                <w:rFonts w:hint="eastAsia" w:ascii="宋体" w:hAnsi="宋体" w:cs="宋体"/>
                <w:kern w:val="0"/>
                <w:sz w:val="18"/>
                <w:szCs w:val="18"/>
                <w:highlight w:val="none"/>
                <w:lang w:val="en-US" w:eastAsia="zh-CN"/>
              </w:rPr>
              <w:t>37</w:t>
            </w:r>
          </w:p>
        </w:tc>
        <w:tc>
          <w:tcPr>
            <w:tcW w:w="520" w:type="pct"/>
            <w:shd w:val="clear" w:color="auto" w:fill="auto"/>
            <w:vAlign w:val="center"/>
          </w:tcPr>
          <w:p>
            <w:pPr>
              <w:keepNext w:val="0"/>
              <w:keepLines w:val="0"/>
              <w:pageBreakBefore w:val="0"/>
              <w:widowControl/>
              <w:suppressLineNumbers w:val="0"/>
              <w:kinsoku/>
              <w:wordWrap/>
              <w:overflowPunct/>
              <w:topLinePunct w:val="0"/>
              <w:bidi w:val="0"/>
              <w:snapToGrid/>
              <w:jc w:val="righ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default" w:ascii="宋体" w:hAnsi="宋体" w:cs="宋体"/>
                <w:kern w:val="0"/>
                <w:sz w:val="18"/>
                <w:szCs w:val="18"/>
                <w:highlight w:val="none"/>
                <w:lang w:val="en-US" w:eastAsia="zh-CN"/>
              </w:rPr>
              <w:t>4</w:t>
            </w:r>
            <w:r>
              <w:rPr>
                <w:rFonts w:hint="eastAsia" w:ascii="宋体" w:hAnsi="宋体" w:cs="宋体"/>
                <w:kern w:val="0"/>
                <w:sz w:val="18"/>
                <w:szCs w:val="18"/>
                <w:highlight w:val="none"/>
                <w:lang w:val="en-US" w:eastAsia="zh-CN"/>
              </w:rPr>
              <w:t>61</w:t>
            </w:r>
            <w:r>
              <w:rPr>
                <w:rFonts w:hint="default" w:ascii="宋体" w:hAnsi="宋体" w:cs="宋体"/>
                <w:kern w:val="0"/>
                <w:sz w:val="18"/>
                <w:szCs w:val="18"/>
                <w:highlight w:val="none"/>
                <w:lang w:val="en-US" w:eastAsia="zh-CN"/>
              </w:rPr>
              <w:t>,</w:t>
            </w:r>
            <w:r>
              <w:rPr>
                <w:rFonts w:hint="eastAsia" w:ascii="宋体" w:hAnsi="宋体" w:cs="宋体"/>
                <w:kern w:val="0"/>
                <w:sz w:val="18"/>
                <w:szCs w:val="18"/>
                <w:highlight w:val="none"/>
                <w:lang w:val="en-US" w:eastAsia="zh-CN"/>
              </w:rPr>
              <w:t>724</w:t>
            </w:r>
            <w:r>
              <w:rPr>
                <w:rFonts w:hint="default" w:ascii="宋体" w:hAnsi="宋体" w:cs="宋体"/>
                <w:kern w:val="0"/>
                <w:sz w:val="18"/>
                <w:szCs w:val="18"/>
                <w:highlight w:val="none"/>
                <w:lang w:val="en-US" w:eastAsia="zh-CN"/>
              </w:rPr>
              <w:t>,</w:t>
            </w:r>
            <w:r>
              <w:rPr>
                <w:rFonts w:hint="eastAsia" w:ascii="宋体" w:hAnsi="宋体" w:cs="宋体"/>
                <w:kern w:val="0"/>
                <w:sz w:val="18"/>
                <w:szCs w:val="18"/>
                <w:highlight w:val="none"/>
                <w:lang w:val="en-US" w:eastAsia="zh-CN"/>
              </w:rPr>
              <w:t>997</w:t>
            </w:r>
            <w:r>
              <w:rPr>
                <w:rFonts w:hint="default" w:ascii="宋体" w:hAnsi="宋体" w:cs="宋体"/>
                <w:kern w:val="0"/>
                <w:sz w:val="18"/>
                <w:szCs w:val="18"/>
                <w:highlight w:val="none"/>
                <w:lang w:val="en-US" w:eastAsia="zh-CN"/>
              </w:rPr>
              <w:t>.</w:t>
            </w:r>
            <w:r>
              <w:rPr>
                <w:rFonts w:hint="eastAsia" w:ascii="宋体" w:hAnsi="宋体" w:cs="宋体"/>
                <w:kern w:val="0"/>
                <w:sz w:val="18"/>
                <w:szCs w:val="18"/>
                <w:highlight w:val="none"/>
                <w:lang w:val="en-US" w:eastAsia="zh-CN"/>
              </w:rPr>
              <w:t>37</w:t>
            </w:r>
          </w:p>
        </w:tc>
        <w:tc>
          <w:tcPr>
            <w:tcW w:w="437" w:type="pct"/>
            <w:shd w:val="clear" w:color="auto" w:fill="auto"/>
            <w:vAlign w:val="center"/>
          </w:tcPr>
          <w:p>
            <w:pPr>
              <w:keepNext w:val="0"/>
              <w:keepLines w:val="0"/>
              <w:pageBreakBefore w:val="0"/>
              <w:widowControl/>
              <w:suppressLineNumbers w:val="0"/>
              <w:kinsoku/>
              <w:wordWrap/>
              <w:overflowPunct/>
              <w:topLinePunct w:val="0"/>
              <w:bidi w:val="0"/>
              <w:snapToGrid/>
              <w:jc w:val="right"/>
              <w:textAlignment w:val="center"/>
              <w:rPr>
                <w:rFonts w:hint="default" w:ascii="宋体" w:hAnsi="宋体" w:eastAsia="宋体" w:cs="宋体"/>
                <w:kern w:val="0"/>
                <w:sz w:val="18"/>
                <w:szCs w:val="18"/>
                <w:highlight w:val="none"/>
                <w:lang w:val="en-US" w:eastAsia="zh-CN" w:bidi="ar-SA"/>
              </w:rPr>
            </w:pPr>
            <w:r>
              <w:rPr>
                <w:rFonts w:hint="eastAsia" w:ascii="宋体" w:hAnsi="宋体" w:cs="宋体"/>
                <w:i w:val="0"/>
                <w:iCs w:val="0"/>
                <w:color w:val="000000"/>
                <w:kern w:val="0"/>
                <w:sz w:val="18"/>
                <w:szCs w:val="18"/>
                <w:highlight w:val="none"/>
                <w:u w:val="none"/>
                <w:lang w:val="en-US" w:eastAsia="zh-CN" w:bidi="ar"/>
              </w:rPr>
              <w:t>100.00</w:t>
            </w:r>
          </w:p>
        </w:tc>
        <w:tc>
          <w:tcPr>
            <w:tcW w:w="494" w:type="pct"/>
            <w:shd w:val="clear" w:color="auto" w:fill="auto"/>
            <w:vAlign w:val="center"/>
          </w:tcPr>
          <w:p>
            <w:pPr>
              <w:keepNext w:val="0"/>
              <w:keepLines w:val="0"/>
              <w:pageBreakBefore w:val="0"/>
              <w:kinsoku/>
              <w:wordWrap/>
              <w:overflowPunct/>
              <w:topLinePunct w:val="0"/>
              <w:bidi w:val="0"/>
              <w:adjustRightInd w:val="0"/>
              <w:snapToGrid/>
              <w:jc w:val="center"/>
              <w:rPr>
                <w:rFonts w:hint="eastAsia" w:ascii="宋体" w:hAnsi="宋体" w:eastAsia="宋体" w:cs="宋体"/>
                <w:kern w:val="0"/>
                <w:sz w:val="18"/>
                <w:szCs w:val="18"/>
              </w:rPr>
            </w:pPr>
          </w:p>
        </w:tc>
        <w:tc>
          <w:tcPr>
            <w:tcW w:w="372" w:type="pct"/>
            <w:shd w:val="clear" w:color="auto" w:fill="auto"/>
            <w:vAlign w:val="center"/>
          </w:tcPr>
          <w:p>
            <w:pPr>
              <w:keepNext w:val="0"/>
              <w:keepLines w:val="0"/>
              <w:pageBreakBefore w:val="0"/>
              <w:kinsoku/>
              <w:wordWrap/>
              <w:overflowPunct/>
              <w:topLinePunct w:val="0"/>
              <w:bidi w:val="0"/>
              <w:adjustRightInd w:val="0"/>
              <w:snapToGrid/>
              <w:jc w:val="center"/>
              <w:rPr>
                <w:rFonts w:ascii="宋体" w:hAnsi="宋体" w:cs="宋体"/>
                <w:kern w:val="0"/>
                <w:sz w:val="18"/>
                <w:szCs w:val="18"/>
              </w:rPr>
            </w:pPr>
          </w:p>
        </w:tc>
        <w:tc>
          <w:tcPr>
            <w:tcW w:w="315" w:type="pct"/>
            <w:shd w:val="clear" w:color="auto" w:fill="auto"/>
            <w:vAlign w:val="center"/>
          </w:tcPr>
          <w:p>
            <w:pPr>
              <w:keepNext w:val="0"/>
              <w:keepLines w:val="0"/>
              <w:pageBreakBefore w:val="0"/>
              <w:kinsoku/>
              <w:wordWrap/>
              <w:overflowPunct/>
              <w:topLinePunct w:val="0"/>
              <w:bidi w:val="0"/>
              <w:adjustRightInd w:val="0"/>
              <w:snapToGrid/>
              <w:jc w:val="center"/>
              <w:rPr>
                <w:rFonts w:hint="eastAsia" w:ascii="宋体" w:hAnsi="宋体" w:cs="宋体"/>
                <w:kern w:val="0"/>
                <w:sz w:val="18"/>
                <w:szCs w:val="18"/>
                <w:lang w:val="en-US" w:eastAsia="zh-CN"/>
              </w:rPr>
            </w:pPr>
          </w:p>
        </w:tc>
        <w:tc>
          <w:tcPr>
            <w:tcW w:w="401" w:type="pct"/>
            <w:shd w:val="clear" w:color="auto" w:fill="auto"/>
            <w:vAlign w:val="center"/>
          </w:tcPr>
          <w:p>
            <w:pPr>
              <w:keepNext w:val="0"/>
              <w:keepLines w:val="0"/>
              <w:pageBreakBefore w:val="0"/>
              <w:kinsoku/>
              <w:wordWrap/>
              <w:overflowPunct/>
              <w:topLinePunct w:val="0"/>
              <w:bidi w:val="0"/>
              <w:adjustRightInd w:val="0"/>
              <w:snapToGrid/>
              <w:jc w:val="center"/>
              <w:rPr>
                <w:rFonts w:hint="eastAsia" w:ascii="宋体" w:hAnsi="宋体" w:cs="宋体"/>
                <w:kern w:val="0"/>
                <w:sz w:val="18"/>
                <w:szCs w:val="18"/>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0" w:hRule="atLeast"/>
          <w:tblHeader/>
        </w:trPr>
        <w:tc>
          <w:tcPr>
            <w:tcW w:w="1937" w:type="pct"/>
            <w:gridSpan w:val="5"/>
            <w:shd w:val="clear" w:color="auto" w:fill="auto"/>
            <w:vAlign w:val="center"/>
          </w:tcPr>
          <w:p>
            <w:pPr>
              <w:keepNext w:val="0"/>
              <w:keepLines w:val="0"/>
              <w:pageBreakBefore w:val="0"/>
              <w:kinsoku/>
              <w:wordWrap/>
              <w:overflowPunct/>
              <w:topLinePunct w:val="0"/>
              <w:bidi w:val="0"/>
              <w:adjustRightInd w:val="0"/>
              <w:snapToGrid/>
              <w:jc w:val="left"/>
              <w:rPr>
                <w:rFonts w:ascii="宋体" w:hAnsi="宋体" w:cs="宋体"/>
                <w:kern w:val="0"/>
                <w:sz w:val="18"/>
                <w:szCs w:val="18"/>
              </w:rPr>
            </w:pPr>
            <w:r>
              <w:rPr>
                <w:rFonts w:hint="eastAsia" w:ascii="宋体" w:hAnsi="宋体" w:cs="宋体"/>
                <w:kern w:val="0"/>
                <w:sz w:val="18"/>
                <w:szCs w:val="18"/>
              </w:rPr>
              <w:t>未达到计划进度或预计收益的情况和原因（分具体项目）</w:t>
            </w:r>
          </w:p>
        </w:tc>
        <w:tc>
          <w:tcPr>
            <w:tcW w:w="3062" w:type="pct"/>
            <w:gridSpan w:val="7"/>
            <w:shd w:val="clear" w:color="auto" w:fill="auto"/>
            <w:vAlign w:val="center"/>
          </w:tcPr>
          <w:p>
            <w:pPr>
              <w:keepNext w:val="0"/>
              <w:keepLines w:val="0"/>
              <w:pageBreakBefore w:val="0"/>
              <w:widowControl/>
              <w:suppressLineNumbers w:val="0"/>
              <w:kinsoku/>
              <w:wordWrap/>
              <w:overflowPunct/>
              <w:topLinePunct w:val="0"/>
              <w:bidi w:val="0"/>
              <w:snapToGrid/>
              <w:jc w:val="left"/>
              <w:rPr>
                <w:rFonts w:ascii="宋体" w:hAnsi="宋体" w:cs="宋体"/>
                <w:kern w:val="0"/>
                <w:sz w:val="18"/>
                <w:szCs w:val="18"/>
              </w:rPr>
            </w:pPr>
            <w:r>
              <w:rPr>
                <w:rFonts w:hint="eastAsia" w:ascii="宋体" w:hAnsi="宋体" w:cs="宋体"/>
                <w:color w:val="000000"/>
                <w:kern w:val="0"/>
                <w:sz w:val="18"/>
                <w:szCs w:val="18"/>
                <w:lang w:val="en-US" w:eastAsia="zh-CN" w:bidi="ar"/>
              </w:rPr>
              <w:t>不适用</w:t>
            </w:r>
            <w:r>
              <w:rPr>
                <w:rFonts w:hint="eastAsia" w:ascii="宋体" w:hAnsi="宋体" w:eastAsia="宋体" w:cs="宋体"/>
                <w:color w:val="000000"/>
                <w:kern w:val="0"/>
                <w:sz w:val="18"/>
                <w:szCs w:val="18"/>
                <w:lang w:val="en-US" w:eastAsia="zh-CN" w:bidi="ar"/>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937" w:type="pct"/>
            <w:gridSpan w:val="5"/>
            <w:shd w:val="clear" w:color="auto" w:fill="auto"/>
            <w:vAlign w:val="center"/>
          </w:tcPr>
          <w:p>
            <w:pPr>
              <w:keepNext w:val="0"/>
              <w:keepLines w:val="0"/>
              <w:pageBreakBefore w:val="0"/>
              <w:kinsoku/>
              <w:wordWrap/>
              <w:overflowPunct/>
              <w:topLinePunct w:val="0"/>
              <w:bidi w:val="0"/>
              <w:adjustRightInd w:val="0"/>
              <w:snapToGrid/>
              <w:jc w:val="left"/>
              <w:rPr>
                <w:rFonts w:ascii="宋体" w:hAnsi="宋体" w:cs="宋体"/>
                <w:kern w:val="0"/>
                <w:sz w:val="18"/>
                <w:szCs w:val="18"/>
              </w:rPr>
            </w:pPr>
            <w:r>
              <w:rPr>
                <w:rFonts w:hint="eastAsia" w:ascii="宋体" w:hAnsi="宋体" w:cs="宋体"/>
                <w:kern w:val="0"/>
                <w:sz w:val="18"/>
                <w:szCs w:val="18"/>
              </w:rPr>
              <w:t>项目可行性发生重大变化的情况说明</w:t>
            </w:r>
          </w:p>
        </w:tc>
        <w:tc>
          <w:tcPr>
            <w:tcW w:w="3062" w:type="pct"/>
            <w:gridSpan w:val="7"/>
            <w:shd w:val="clear" w:color="auto" w:fill="auto"/>
            <w:vAlign w:val="center"/>
          </w:tcPr>
          <w:p>
            <w:pPr>
              <w:keepNext w:val="0"/>
              <w:keepLines w:val="0"/>
              <w:pageBreakBefore w:val="0"/>
              <w:widowControl/>
              <w:suppressLineNumbers w:val="0"/>
              <w:kinsoku/>
              <w:wordWrap/>
              <w:overflowPunct/>
              <w:topLinePunct w:val="0"/>
              <w:bidi w:val="0"/>
              <w:snapToGrid/>
              <w:jc w:val="left"/>
              <w:rPr>
                <w:rFonts w:ascii="宋体" w:hAnsi="宋体" w:cs="宋体"/>
                <w:kern w:val="0"/>
                <w:sz w:val="18"/>
                <w:szCs w:val="18"/>
              </w:rPr>
            </w:pPr>
            <w:r>
              <w:rPr>
                <w:rFonts w:hint="eastAsia" w:ascii="宋体" w:hAnsi="宋体" w:cs="宋体"/>
                <w:color w:val="000000"/>
                <w:kern w:val="0"/>
                <w:sz w:val="18"/>
                <w:szCs w:val="18"/>
                <w:lang w:val="en-US" w:eastAsia="zh-CN" w:bidi="ar"/>
              </w:rPr>
              <w:t>不适用</w:t>
            </w:r>
            <w:r>
              <w:rPr>
                <w:rFonts w:hint="eastAsia" w:ascii="宋体" w:hAnsi="宋体" w:eastAsia="宋体" w:cs="宋体"/>
                <w:color w:val="000000"/>
                <w:kern w:val="0"/>
                <w:sz w:val="18"/>
                <w:szCs w:val="18"/>
                <w:lang w:val="en-US" w:eastAsia="zh-CN" w:bidi="ar"/>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937" w:type="pct"/>
            <w:gridSpan w:val="5"/>
            <w:shd w:val="clear" w:color="auto" w:fill="auto"/>
            <w:vAlign w:val="center"/>
          </w:tcPr>
          <w:p>
            <w:pPr>
              <w:keepNext w:val="0"/>
              <w:keepLines w:val="0"/>
              <w:pageBreakBefore w:val="0"/>
              <w:kinsoku/>
              <w:wordWrap/>
              <w:overflowPunct/>
              <w:topLinePunct w:val="0"/>
              <w:bidi w:val="0"/>
              <w:adjustRightInd w:val="0"/>
              <w:snapToGrid/>
              <w:jc w:val="left"/>
              <w:rPr>
                <w:rFonts w:ascii="宋体" w:hAnsi="宋体" w:cs="宋体"/>
                <w:kern w:val="0"/>
                <w:sz w:val="18"/>
                <w:szCs w:val="18"/>
              </w:rPr>
            </w:pPr>
            <w:r>
              <w:rPr>
                <w:rFonts w:hint="eastAsia" w:ascii="宋体" w:hAnsi="宋体" w:cs="宋体"/>
                <w:kern w:val="0"/>
                <w:sz w:val="18"/>
                <w:szCs w:val="18"/>
              </w:rPr>
              <w:t>超募资金的金额、用途及使用进展情况</w:t>
            </w:r>
          </w:p>
        </w:tc>
        <w:tc>
          <w:tcPr>
            <w:tcW w:w="3062" w:type="pct"/>
            <w:gridSpan w:val="7"/>
            <w:shd w:val="clear" w:color="auto" w:fill="auto"/>
            <w:vAlign w:val="center"/>
          </w:tcPr>
          <w:p>
            <w:pPr>
              <w:keepNext w:val="0"/>
              <w:keepLines w:val="0"/>
              <w:pageBreakBefore w:val="0"/>
              <w:widowControl/>
              <w:suppressLineNumbers w:val="0"/>
              <w:kinsoku/>
              <w:wordWrap/>
              <w:overflowPunct/>
              <w:topLinePunct w:val="0"/>
              <w:bidi w:val="0"/>
              <w:snapToGrid/>
              <w:jc w:val="left"/>
              <w:rPr>
                <w:rFonts w:ascii="宋体" w:hAnsi="宋体" w:cs="宋体"/>
                <w:kern w:val="0"/>
                <w:sz w:val="18"/>
                <w:szCs w:val="18"/>
              </w:rPr>
            </w:pPr>
            <w:r>
              <w:rPr>
                <w:rFonts w:hint="eastAsia" w:ascii="宋体" w:hAnsi="宋体" w:cs="宋体"/>
                <w:color w:val="000000"/>
                <w:kern w:val="0"/>
                <w:sz w:val="18"/>
                <w:szCs w:val="18"/>
                <w:lang w:val="en-US" w:eastAsia="zh-CN" w:bidi="ar"/>
              </w:rPr>
              <w:t>不适用</w:t>
            </w:r>
            <w:r>
              <w:rPr>
                <w:rFonts w:hint="eastAsia" w:ascii="宋体" w:hAnsi="宋体" w:eastAsia="宋体" w:cs="宋体"/>
                <w:color w:val="000000"/>
                <w:kern w:val="0"/>
                <w:sz w:val="18"/>
                <w:szCs w:val="18"/>
                <w:lang w:val="en-US" w:eastAsia="zh-CN" w:bidi="ar"/>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937" w:type="pct"/>
            <w:gridSpan w:val="5"/>
            <w:shd w:val="clear" w:color="auto" w:fill="auto"/>
            <w:vAlign w:val="center"/>
          </w:tcPr>
          <w:p>
            <w:pPr>
              <w:keepNext w:val="0"/>
              <w:keepLines w:val="0"/>
              <w:pageBreakBefore w:val="0"/>
              <w:kinsoku/>
              <w:wordWrap/>
              <w:overflowPunct/>
              <w:topLinePunct w:val="0"/>
              <w:bidi w:val="0"/>
              <w:adjustRightInd w:val="0"/>
              <w:snapToGrid/>
              <w:jc w:val="left"/>
              <w:rPr>
                <w:rFonts w:ascii="宋体" w:hAnsi="宋体" w:cs="宋体"/>
                <w:kern w:val="0"/>
                <w:sz w:val="18"/>
                <w:szCs w:val="18"/>
              </w:rPr>
            </w:pPr>
            <w:r>
              <w:rPr>
                <w:rFonts w:hint="eastAsia" w:ascii="宋体" w:hAnsi="宋体" w:cs="宋体"/>
                <w:kern w:val="0"/>
                <w:sz w:val="18"/>
                <w:szCs w:val="18"/>
              </w:rPr>
              <w:t>募集资金投资项目实施地点变更情况</w:t>
            </w:r>
          </w:p>
        </w:tc>
        <w:tc>
          <w:tcPr>
            <w:tcW w:w="3062" w:type="pct"/>
            <w:gridSpan w:val="7"/>
            <w:shd w:val="clear" w:color="auto" w:fill="auto"/>
            <w:vAlign w:val="center"/>
          </w:tcPr>
          <w:p>
            <w:pPr>
              <w:keepNext w:val="0"/>
              <w:keepLines w:val="0"/>
              <w:pageBreakBefore w:val="0"/>
              <w:kinsoku/>
              <w:wordWrap/>
              <w:overflowPunct/>
              <w:topLinePunct w:val="0"/>
              <w:bidi w:val="0"/>
              <w:adjustRightInd w:val="0"/>
              <w:snapToGrid/>
              <w:jc w:val="left"/>
              <w:rPr>
                <w:rFonts w:ascii="宋体" w:hAnsi="宋体" w:cs="宋体"/>
                <w:kern w:val="0"/>
                <w:sz w:val="18"/>
                <w:szCs w:val="18"/>
              </w:rPr>
            </w:pPr>
            <w:r>
              <w:rPr>
                <w:rFonts w:hint="eastAsia" w:ascii="宋体" w:hAnsi="宋体" w:cs="宋体"/>
                <w:color w:val="000000"/>
                <w:kern w:val="0"/>
                <w:sz w:val="18"/>
                <w:szCs w:val="18"/>
                <w:lang w:val="en-US" w:eastAsia="zh-CN" w:bidi="ar"/>
              </w:rPr>
              <w:t>不适用</w:t>
            </w:r>
            <w:r>
              <w:rPr>
                <w:rFonts w:hint="eastAsia" w:ascii="宋体" w:hAnsi="宋体" w:eastAsia="宋体" w:cs="宋体"/>
                <w:color w:val="000000"/>
                <w:kern w:val="0"/>
                <w:sz w:val="18"/>
                <w:szCs w:val="18"/>
                <w:lang w:val="en-US" w:eastAsia="zh-CN" w:bidi="ar"/>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937" w:type="pct"/>
            <w:gridSpan w:val="5"/>
            <w:shd w:val="clear" w:color="auto" w:fill="auto"/>
            <w:vAlign w:val="center"/>
          </w:tcPr>
          <w:p>
            <w:pPr>
              <w:keepNext w:val="0"/>
              <w:keepLines w:val="0"/>
              <w:pageBreakBefore w:val="0"/>
              <w:kinsoku/>
              <w:wordWrap/>
              <w:overflowPunct/>
              <w:topLinePunct w:val="0"/>
              <w:bidi w:val="0"/>
              <w:adjustRightInd w:val="0"/>
              <w:snapToGrid/>
              <w:jc w:val="left"/>
              <w:rPr>
                <w:rFonts w:ascii="宋体" w:hAnsi="宋体" w:cs="宋体"/>
                <w:kern w:val="0"/>
                <w:sz w:val="18"/>
                <w:szCs w:val="18"/>
              </w:rPr>
            </w:pPr>
            <w:r>
              <w:rPr>
                <w:rFonts w:hint="eastAsia" w:ascii="宋体" w:hAnsi="宋体" w:cs="宋体"/>
                <w:kern w:val="0"/>
                <w:sz w:val="18"/>
                <w:szCs w:val="18"/>
              </w:rPr>
              <w:t>募集资金投资项目实施方式调整情况</w:t>
            </w:r>
          </w:p>
        </w:tc>
        <w:tc>
          <w:tcPr>
            <w:tcW w:w="3062" w:type="pct"/>
            <w:gridSpan w:val="7"/>
            <w:shd w:val="clear" w:color="auto" w:fill="auto"/>
            <w:vAlign w:val="center"/>
          </w:tcPr>
          <w:p>
            <w:pPr>
              <w:keepNext w:val="0"/>
              <w:keepLines w:val="0"/>
              <w:pageBreakBefore w:val="0"/>
              <w:kinsoku/>
              <w:wordWrap/>
              <w:overflowPunct/>
              <w:topLinePunct w:val="0"/>
              <w:bidi w:val="0"/>
              <w:adjustRightInd w:val="0"/>
              <w:snapToGrid/>
              <w:jc w:val="left"/>
              <w:rPr>
                <w:rFonts w:ascii="宋体" w:hAnsi="宋体" w:cs="宋体"/>
                <w:kern w:val="0"/>
                <w:sz w:val="18"/>
                <w:szCs w:val="18"/>
              </w:rPr>
            </w:pPr>
            <w:r>
              <w:rPr>
                <w:rFonts w:hint="eastAsia" w:ascii="宋体" w:hAnsi="宋体" w:cs="宋体"/>
                <w:color w:val="000000"/>
                <w:kern w:val="0"/>
                <w:sz w:val="18"/>
                <w:szCs w:val="18"/>
                <w:lang w:val="en-US" w:eastAsia="zh-CN" w:bidi="ar"/>
              </w:rPr>
              <w:t>不适用</w:t>
            </w:r>
            <w:r>
              <w:rPr>
                <w:rFonts w:hint="eastAsia" w:ascii="宋体" w:hAnsi="宋体" w:eastAsia="宋体" w:cs="宋体"/>
                <w:color w:val="000000"/>
                <w:kern w:val="0"/>
                <w:sz w:val="18"/>
                <w:szCs w:val="18"/>
                <w:lang w:val="en-US" w:eastAsia="zh-CN" w:bidi="ar"/>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552" w:type="pct"/>
            <w:shd w:val="clear" w:color="auto" w:fill="auto"/>
            <w:vAlign w:val="center"/>
          </w:tcPr>
          <w:p>
            <w:pPr>
              <w:keepNext w:val="0"/>
              <w:keepLines w:val="0"/>
              <w:pageBreakBefore w:val="0"/>
              <w:kinsoku/>
              <w:wordWrap/>
              <w:overflowPunct/>
              <w:topLinePunct w:val="0"/>
              <w:bidi w:val="0"/>
              <w:adjustRightInd w:val="0"/>
              <w:snapToGrid/>
              <w:spacing w:line="0" w:lineRule="atLeast"/>
              <w:jc w:val="left"/>
              <w:rPr>
                <w:rFonts w:ascii="宋体" w:hAnsi="宋体" w:cs="宋体"/>
                <w:kern w:val="0"/>
                <w:sz w:val="18"/>
                <w:szCs w:val="18"/>
              </w:rPr>
            </w:pPr>
            <w:r>
              <w:rPr>
                <w:rFonts w:hint="eastAsia" w:ascii="宋体" w:hAnsi="宋体" w:cs="宋体"/>
                <w:kern w:val="0"/>
                <w:sz w:val="18"/>
                <w:szCs w:val="18"/>
              </w:rPr>
              <w:t>募集资金投资项目先期投入及置换情况</w:t>
            </w:r>
          </w:p>
        </w:tc>
        <w:tc>
          <w:tcPr>
            <w:tcW w:w="4447" w:type="pct"/>
            <w:gridSpan w:val="11"/>
            <w:shd w:val="clear" w:color="auto" w:fill="auto"/>
            <w:vAlign w:val="center"/>
          </w:tcPr>
          <w:p>
            <w:pPr>
              <w:keepNext w:val="0"/>
              <w:keepLines w:val="0"/>
              <w:pageBreakBefore w:val="0"/>
              <w:widowControl/>
              <w:suppressLineNumbers w:val="0"/>
              <w:kinsoku/>
              <w:wordWrap/>
              <w:overflowPunct/>
              <w:topLinePunct w:val="0"/>
              <w:bidi w:val="0"/>
              <w:snapToGrid/>
              <w:jc w:val="left"/>
              <w:rPr>
                <w:rFonts w:ascii="宋体" w:hAnsi="宋体" w:cs="宋体"/>
                <w:kern w:val="0"/>
                <w:sz w:val="18"/>
                <w:szCs w:val="18"/>
              </w:rPr>
            </w:pPr>
            <w:r>
              <w:rPr>
                <w:rFonts w:hint="eastAsia" w:ascii="宋体" w:hAnsi="宋体" w:cs="宋体"/>
                <w:color w:val="000000"/>
                <w:kern w:val="0"/>
                <w:sz w:val="18"/>
                <w:szCs w:val="18"/>
                <w:lang w:val="en-US" w:eastAsia="zh-CN" w:bidi="ar"/>
              </w:rPr>
              <w:t>不适用</w:t>
            </w:r>
            <w:r>
              <w:rPr>
                <w:rFonts w:hint="eastAsia" w:ascii="宋体" w:hAnsi="宋体" w:eastAsia="宋体" w:cs="宋体"/>
                <w:color w:val="000000"/>
                <w:kern w:val="0"/>
                <w:sz w:val="18"/>
                <w:szCs w:val="18"/>
                <w:lang w:val="en-US" w:eastAsia="zh-CN" w:bidi="ar"/>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552" w:type="pct"/>
            <w:shd w:val="clear" w:color="auto" w:fill="auto"/>
            <w:vAlign w:val="center"/>
          </w:tcPr>
          <w:p>
            <w:pPr>
              <w:keepNext w:val="0"/>
              <w:keepLines w:val="0"/>
              <w:pageBreakBefore w:val="0"/>
              <w:kinsoku/>
              <w:wordWrap/>
              <w:overflowPunct/>
              <w:topLinePunct w:val="0"/>
              <w:bidi w:val="0"/>
              <w:adjustRightInd w:val="0"/>
              <w:snapToGrid/>
              <w:spacing w:line="0" w:lineRule="atLeast"/>
              <w:jc w:val="left"/>
              <w:rPr>
                <w:rFonts w:ascii="宋体" w:hAnsi="宋体" w:cs="宋体"/>
                <w:kern w:val="0"/>
                <w:sz w:val="18"/>
                <w:szCs w:val="18"/>
              </w:rPr>
            </w:pPr>
            <w:r>
              <w:rPr>
                <w:rFonts w:hint="eastAsia" w:ascii="宋体" w:hAnsi="宋体" w:cs="宋体"/>
                <w:kern w:val="0"/>
                <w:sz w:val="18"/>
                <w:szCs w:val="18"/>
              </w:rPr>
              <w:t>用闲置募集资金暂时补充流动资金情况</w:t>
            </w:r>
          </w:p>
        </w:tc>
        <w:tc>
          <w:tcPr>
            <w:tcW w:w="4447" w:type="pct"/>
            <w:gridSpan w:val="11"/>
            <w:shd w:val="clear" w:color="auto" w:fill="auto"/>
            <w:vAlign w:val="center"/>
          </w:tcPr>
          <w:p>
            <w:pPr>
              <w:keepNext w:val="0"/>
              <w:keepLines w:val="0"/>
              <w:pageBreakBefore w:val="0"/>
              <w:widowControl/>
              <w:suppressLineNumbers w:val="0"/>
              <w:kinsoku/>
              <w:wordWrap/>
              <w:overflowPunct/>
              <w:topLinePunct w:val="0"/>
              <w:bidi w:val="0"/>
              <w:snapToGrid/>
              <w:jc w:val="left"/>
              <w:rPr>
                <w:rFonts w:ascii="宋体" w:hAnsi="宋体" w:cs="宋体"/>
                <w:kern w:val="0"/>
                <w:sz w:val="18"/>
                <w:szCs w:val="18"/>
              </w:rPr>
            </w:pPr>
            <w:r>
              <w:rPr>
                <w:rFonts w:hint="eastAsia" w:ascii="宋体" w:hAnsi="宋体" w:eastAsia="宋体" w:cs="宋体"/>
                <w:color w:val="000000"/>
                <w:kern w:val="0"/>
                <w:sz w:val="18"/>
                <w:szCs w:val="18"/>
                <w:lang w:val="en-US" w:eastAsia="zh-CN" w:bidi="ar"/>
              </w:rPr>
              <w:t>不适用。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552" w:type="pct"/>
            <w:shd w:val="clear" w:color="auto" w:fill="auto"/>
            <w:vAlign w:val="center"/>
          </w:tcPr>
          <w:p>
            <w:pPr>
              <w:keepNext w:val="0"/>
              <w:keepLines w:val="0"/>
              <w:pageBreakBefore w:val="0"/>
              <w:kinsoku/>
              <w:wordWrap/>
              <w:overflowPunct/>
              <w:topLinePunct w:val="0"/>
              <w:bidi w:val="0"/>
              <w:adjustRightInd w:val="0"/>
              <w:snapToGrid/>
              <w:spacing w:line="0" w:lineRule="atLeast"/>
              <w:jc w:val="left"/>
              <w:rPr>
                <w:rFonts w:ascii="宋体" w:hAnsi="宋体" w:cs="宋体"/>
                <w:kern w:val="0"/>
                <w:sz w:val="18"/>
                <w:szCs w:val="18"/>
              </w:rPr>
            </w:pPr>
            <w:r>
              <w:rPr>
                <w:rFonts w:hint="eastAsia" w:ascii="宋体" w:hAnsi="宋体" w:cs="宋体"/>
                <w:i w:val="0"/>
                <w:iCs/>
                <w:kern w:val="0"/>
                <w:sz w:val="18"/>
                <w:szCs w:val="18"/>
              </w:rPr>
              <w:t>用闲置募集资金进行现金管理情况</w:t>
            </w:r>
          </w:p>
        </w:tc>
        <w:tc>
          <w:tcPr>
            <w:tcW w:w="4447" w:type="pct"/>
            <w:gridSpan w:val="11"/>
            <w:shd w:val="clear" w:color="auto" w:fill="auto"/>
            <w:vAlign w:val="center"/>
          </w:tcPr>
          <w:p>
            <w:pPr>
              <w:keepNext w:val="0"/>
              <w:keepLines w:val="0"/>
              <w:pageBreakBefore w:val="0"/>
              <w:widowControl/>
              <w:suppressLineNumbers w:val="0"/>
              <w:kinsoku/>
              <w:wordWrap/>
              <w:overflowPunct/>
              <w:topLinePunct w:val="0"/>
              <w:bidi w:val="0"/>
              <w:snapToGrid/>
              <w:jc w:val="left"/>
              <w:rPr>
                <w:rFonts w:ascii="宋体" w:hAnsi="宋体" w:cs="宋体"/>
                <w:kern w:val="0"/>
                <w:sz w:val="18"/>
                <w:szCs w:val="18"/>
              </w:rPr>
            </w:pPr>
            <w:r>
              <w:rPr>
                <w:rFonts w:hint="eastAsia" w:ascii="宋体" w:hAnsi="宋体" w:cs="宋体"/>
                <w:color w:val="000000"/>
                <w:kern w:val="0"/>
                <w:sz w:val="18"/>
                <w:szCs w:val="18"/>
                <w:lang w:val="en-US" w:eastAsia="zh-CN" w:bidi="ar"/>
              </w:rPr>
              <w:t>不适用</w:t>
            </w:r>
            <w:r>
              <w:rPr>
                <w:rFonts w:hint="eastAsia" w:ascii="宋体" w:hAnsi="宋体" w:eastAsia="宋体" w:cs="宋体"/>
                <w:color w:val="000000"/>
                <w:kern w:val="0"/>
                <w:sz w:val="18"/>
                <w:szCs w:val="18"/>
                <w:lang w:val="en-US" w:eastAsia="zh-CN" w:bidi="ar"/>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553" w:type="pct"/>
            <w:gridSpan w:val="2"/>
            <w:shd w:val="clear" w:color="auto" w:fill="auto"/>
            <w:vAlign w:val="center"/>
          </w:tcPr>
          <w:p>
            <w:pPr>
              <w:keepNext w:val="0"/>
              <w:keepLines w:val="0"/>
              <w:pageBreakBefore w:val="0"/>
              <w:kinsoku/>
              <w:wordWrap/>
              <w:overflowPunct/>
              <w:topLinePunct w:val="0"/>
              <w:bidi w:val="0"/>
              <w:adjustRightInd w:val="0"/>
              <w:snapToGrid/>
              <w:spacing w:line="0" w:lineRule="atLeast"/>
              <w:jc w:val="left"/>
              <w:rPr>
                <w:rFonts w:ascii="宋体" w:hAnsi="宋体" w:cs="宋体"/>
                <w:kern w:val="0"/>
                <w:sz w:val="18"/>
                <w:szCs w:val="18"/>
              </w:rPr>
            </w:pPr>
            <w:r>
              <w:rPr>
                <w:rFonts w:hint="eastAsia" w:ascii="宋体" w:hAnsi="宋体" w:cs="宋体"/>
                <w:kern w:val="0"/>
                <w:sz w:val="18"/>
                <w:szCs w:val="18"/>
              </w:rPr>
              <w:t>项目实施出现募集资金节余的金额及原因</w:t>
            </w:r>
          </w:p>
        </w:tc>
        <w:tc>
          <w:tcPr>
            <w:tcW w:w="4446" w:type="pct"/>
            <w:gridSpan w:val="10"/>
            <w:shd w:val="clear" w:color="auto" w:fill="auto"/>
            <w:vAlign w:val="center"/>
          </w:tcPr>
          <w:p>
            <w:pPr>
              <w:keepNext w:val="0"/>
              <w:keepLines w:val="0"/>
              <w:pageBreakBefore w:val="0"/>
              <w:widowControl/>
              <w:suppressLineNumbers w:val="0"/>
              <w:kinsoku/>
              <w:wordWrap/>
              <w:overflowPunct/>
              <w:topLinePunct w:val="0"/>
              <w:bidi w:val="0"/>
              <w:snapToGrid/>
              <w:jc w:val="left"/>
              <w:rPr>
                <w:rFonts w:ascii="宋体" w:hAnsi="宋体" w:cs="宋体"/>
                <w:kern w:val="0"/>
                <w:sz w:val="18"/>
                <w:szCs w:val="18"/>
              </w:rPr>
            </w:pPr>
            <w:r>
              <w:rPr>
                <w:rFonts w:hint="eastAsia" w:ascii="宋体" w:hAnsi="宋体" w:eastAsia="宋体" w:cs="宋体"/>
                <w:color w:val="000000"/>
                <w:kern w:val="0"/>
                <w:sz w:val="18"/>
                <w:szCs w:val="18"/>
                <w:lang w:val="en-US" w:eastAsia="zh-CN" w:bidi="ar"/>
              </w:rPr>
              <w:t>不适用。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553" w:type="pct"/>
            <w:gridSpan w:val="2"/>
            <w:shd w:val="clear" w:color="auto" w:fill="auto"/>
            <w:vAlign w:val="center"/>
          </w:tcPr>
          <w:p>
            <w:pPr>
              <w:keepNext w:val="0"/>
              <w:keepLines w:val="0"/>
              <w:pageBreakBefore w:val="0"/>
              <w:kinsoku/>
              <w:wordWrap/>
              <w:overflowPunct/>
              <w:topLinePunct w:val="0"/>
              <w:bidi w:val="0"/>
              <w:adjustRightInd w:val="0"/>
              <w:snapToGrid/>
              <w:spacing w:line="0" w:lineRule="atLeast"/>
              <w:jc w:val="left"/>
              <w:rPr>
                <w:rFonts w:ascii="宋体" w:hAnsi="宋体" w:cs="宋体"/>
                <w:kern w:val="0"/>
                <w:sz w:val="18"/>
                <w:szCs w:val="18"/>
              </w:rPr>
            </w:pPr>
            <w:r>
              <w:rPr>
                <w:rFonts w:hint="eastAsia" w:ascii="宋体" w:hAnsi="宋体" w:cs="宋体"/>
                <w:kern w:val="0"/>
                <w:sz w:val="18"/>
                <w:szCs w:val="18"/>
              </w:rPr>
              <w:t>尚未使用的募集资金用途及去向</w:t>
            </w:r>
          </w:p>
        </w:tc>
        <w:tc>
          <w:tcPr>
            <w:tcW w:w="4446" w:type="pct"/>
            <w:gridSpan w:val="10"/>
            <w:shd w:val="clear" w:color="auto" w:fill="auto"/>
            <w:vAlign w:val="center"/>
          </w:tcPr>
          <w:p>
            <w:pPr>
              <w:keepNext w:val="0"/>
              <w:keepLines w:val="0"/>
              <w:pageBreakBefore w:val="0"/>
              <w:widowControl/>
              <w:suppressLineNumbers w:val="0"/>
              <w:kinsoku/>
              <w:wordWrap/>
              <w:overflowPunct/>
              <w:topLinePunct w:val="0"/>
              <w:bidi w:val="0"/>
              <w:snapToGrid/>
              <w:jc w:val="left"/>
              <w:rPr>
                <w:rFonts w:ascii="宋体" w:hAnsi="宋体" w:cs="宋体"/>
                <w:kern w:val="0"/>
                <w:sz w:val="18"/>
                <w:szCs w:val="18"/>
              </w:rPr>
            </w:pPr>
            <w:r>
              <w:rPr>
                <w:rFonts w:hint="eastAsia" w:ascii="宋体" w:hAnsi="宋体" w:cs="宋体"/>
                <w:color w:val="000000"/>
                <w:kern w:val="0"/>
                <w:sz w:val="18"/>
                <w:szCs w:val="18"/>
                <w:lang w:val="en-US" w:eastAsia="zh-CN" w:bidi="ar"/>
              </w:rPr>
              <w:t>不适用</w:t>
            </w:r>
            <w:r>
              <w:rPr>
                <w:rFonts w:hint="eastAsia" w:ascii="宋体" w:hAnsi="宋体" w:eastAsia="宋体" w:cs="宋体"/>
                <w:color w:val="000000"/>
                <w:kern w:val="0"/>
                <w:sz w:val="18"/>
                <w:szCs w:val="18"/>
                <w:lang w:val="en-US" w:eastAsia="zh-CN" w:bidi="ar"/>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553" w:type="pct"/>
            <w:gridSpan w:val="2"/>
            <w:shd w:val="clear" w:color="auto" w:fill="auto"/>
            <w:vAlign w:val="center"/>
          </w:tcPr>
          <w:p>
            <w:pPr>
              <w:keepNext w:val="0"/>
              <w:keepLines w:val="0"/>
              <w:pageBreakBefore w:val="0"/>
              <w:kinsoku/>
              <w:wordWrap/>
              <w:overflowPunct/>
              <w:topLinePunct w:val="0"/>
              <w:bidi w:val="0"/>
              <w:adjustRightInd w:val="0"/>
              <w:snapToGrid/>
              <w:spacing w:line="0" w:lineRule="atLeast"/>
              <w:jc w:val="left"/>
              <w:rPr>
                <w:rFonts w:ascii="宋体" w:hAnsi="宋体" w:cs="宋体"/>
                <w:kern w:val="0"/>
                <w:sz w:val="18"/>
                <w:szCs w:val="18"/>
              </w:rPr>
            </w:pPr>
            <w:r>
              <w:rPr>
                <w:rFonts w:hint="eastAsia" w:ascii="宋体" w:hAnsi="宋体" w:cs="宋体"/>
                <w:kern w:val="0"/>
                <w:sz w:val="18"/>
                <w:szCs w:val="18"/>
              </w:rPr>
              <w:t>募集资金使用及披露中存在的问题或其他情况</w:t>
            </w:r>
          </w:p>
        </w:tc>
        <w:tc>
          <w:tcPr>
            <w:tcW w:w="4446" w:type="pct"/>
            <w:gridSpan w:val="10"/>
            <w:shd w:val="clear" w:color="auto" w:fill="auto"/>
            <w:vAlign w:val="center"/>
          </w:tcPr>
          <w:p>
            <w:pPr>
              <w:keepNext w:val="0"/>
              <w:keepLines w:val="0"/>
              <w:pageBreakBefore w:val="0"/>
              <w:widowControl/>
              <w:suppressLineNumbers w:val="0"/>
              <w:kinsoku/>
              <w:wordWrap/>
              <w:overflowPunct/>
              <w:topLinePunct w:val="0"/>
              <w:bidi w:val="0"/>
              <w:snapToGrid/>
              <w:jc w:val="left"/>
              <w:rPr>
                <w:rFonts w:ascii="宋体" w:hAnsi="宋体" w:cs="宋体"/>
                <w:kern w:val="0"/>
                <w:sz w:val="18"/>
                <w:szCs w:val="18"/>
              </w:rPr>
            </w:pPr>
            <w:r>
              <w:rPr>
                <w:rFonts w:hint="eastAsia" w:ascii="宋体" w:hAnsi="宋体" w:eastAsia="宋体" w:cs="宋体"/>
                <w:color w:val="000000"/>
                <w:kern w:val="0"/>
                <w:sz w:val="18"/>
                <w:szCs w:val="18"/>
                <w:lang w:val="en-US" w:eastAsia="zh-CN" w:bidi="ar"/>
              </w:rPr>
              <w:t>无</w:t>
            </w:r>
          </w:p>
        </w:tc>
      </w:tr>
    </w:tbl>
    <w:p>
      <w:pPr>
        <w:keepNext w:val="0"/>
        <w:keepLines w:val="0"/>
        <w:pageBreakBefore w:val="0"/>
        <w:widowControl/>
        <w:suppressLineNumbers w:val="0"/>
        <w:kinsoku/>
        <w:wordWrap/>
        <w:overflowPunct/>
        <w:topLinePunct w:val="0"/>
        <w:bidi w:val="0"/>
        <w:snapToGrid/>
        <w:jc w:val="left"/>
        <w:rPr>
          <w:rFonts w:hint="eastAsia" w:ascii="宋体" w:hAnsi="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[注</w:t>
      </w:r>
      <w:r>
        <w:rPr>
          <w:rFonts w:hint="eastAsia" w:ascii="宋体" w:hAnsi="宋体" w:cs="宋体"/>
          <w:color w:val="000000"/>
          <w:kern w:val="0"/>
          <w:sz w:val="18"/>
          <w:szCs w:val="18"/>
          <w:lang w:val="en-US" w:eastAsia="zh-CN" w:bidi="ar"/>
        </w:rPr>
        <w:t>1</w:t>
      </w:r>
      <w:r>
        <w:rPr>
          <w:rFonts w:hint="eastAsia" w:ascii="宋体" w:hAnsi="宋体" w:eastAsia="宋体" w:cs="宋体"/>
          <w:color w:val="000000"/>
          <w:kern w:val="0"/>
          <w:sz w:val="18"/>
          <w:szCs w:val="18"/>
          <w:lang w:val="en-US" w:eastAsia="zh-CN" w:bidi="ar"/>
        </w:rPr>
        <w:t>]</w:t>
      </w:r>
      <w:r>
        <w:rPr>
          <w:rFonts w:hint="eastAsia" w:ascii="宋体" w:hAnsi="宋体" w:cs="宋体"/>
          <w:color w:val="000000"/>
          <w:kern w:val="0"/>
          <w:sz w:val="18"/>
          <w:szCs w:val="18"/>
          <w:lang w:val="en-US" w:eastAsia="zh-CN" w:bidi="ar"/>
        </w:rPr>
        <w:t xml:space="preserve"> “募集资金总额”为本次募集资金总额（466,428,568.63元）扣除发行费用（6,623,874.79元）后的募集资金净额</w:t>
      </w:r>
    </w:p>
    <w:p>
      <w:pPr>
        <w:keepNext w:val="0"/>
        <w:keepLines w:val="0"/>
        <w:pageBreakBefore w:val="0"/>
        <w:widowControl/>
        <w:kinsoku/>
        <w:wordWrap/>
        <w:overflowPunct/>
        <w:topLinePunct w:val="0"/>
        <w:bidi w:val="0"/>
        <w:snapToGrid/>
        <w:spacing w:line="240" w:lineRule="auto"/>
        <w:jc w:val="left"/>
        <w:rPr>
          <w:sz w:val="18"/>
          <w:szCs w:val="18"/>
        </w:rPr>
      </w:pPr>
      <w:r>
        <w:rPr>
          <w:rFonts w:hint="eastAsia" w:ascii="宋体" w:hAnsi="宋体" w:cs="宋体"/>
          <w:kern w:val="0"/>
          <w:sz w:val="18"/>
          <w:szCs w:val="18"/>
          <w:lang w:val="en-US" w:eastAsia="zh-CN"/>
        </w:rPr>
        <w:t>[注2] 本年度投入金额和截至期末累计投入金额为募集资金金额</w:t>
      </w:r>
      <w:r>
        <w:rPr>
          <w:rFonts w:hint="eastAsia" w:ascii="宋体" w:hAnsi="宋体" w:cs="宋体"/>
          <w:color w:val="000000"/>
          <w:kern w:val="0"/>
          <w:sz w:val="18"/>
          <w:szCs w:val="18"/>
          <w:lang w:val="en-US" w:eastAsia="zh-CN" w:bidi="ar"/>
        </w:rPr>
        <w:t>459,804,693.84元加上利息</w:t>
      </w:r>
      <w:r>
        <w:rPr>
          <w:rFonts w:hint="eastAsia" w:ascii="宋体" w:hAnsi="宋体" w:cs="宋体"/>
          <w:color w:val="000000"/>
          <w:kern w:val="0"/>
          <w:sz w:val="18"/>
          <w:szCs w:val="18"/>
          <w:highlight w:val="none"/>
          <w:lang w:val="en-US" w:eastAsia="zh-CN" w:bidi="ar"/>
        </w:rPr>
        <w:t>净额</w:t>
      </w:r>
      <w:r>
        <w:rPr>
          <w:rFonts w:hint="eastAsia" w:ascii="宋体" w:hAnsi="宋体" w:cs="宋体"/>
          <w:color w:val="000000"/>
          <w:kern w:val="0"/>
          <w:sz w:val="18"/>
          <w:szCs w:val="18"/>
          <w:lang w:val="en-US" w:eastAsia="zh-CN" w:bidi="ar"/>
        </w:rPr>
        <w:t>1,920,303.53</w:t>
      </w:r>
      <w:r>
        <w:rPr>
          <w:rFonts w:hint="eastAsia" w:ascii="宋体" w:hAnsi="宋体" w:cs="宋体"/>
          <w:color w:val="000000"/>
          <w:kern w:val="0"/>
          <w:sz w:val="18"/>
          <w:szCs w:val="18"/>
          <w:highlight w:val="none"/>
          <w:lang w:val="en-US" w:eastAsia="zh-CN" w:bidi="ar"/>
        </w:rPr>
        <w:t>元</w:t>
      </w:r>
    </w:p>
    <w:p/>
    <w:p>
      <w:pPr>
        <w:pStyle w:val="7"/>
        <w:autoSpaceDE/>
        <w:autoSpaceDN/>
        <w:spacing w:before="156" w:beforeLines="50" w:line="360" w:lineRule="auto"/>
        <w:ind w:left="0" w:right="960"/>
        <w:rPr>
          <w:rFonts w:ascii="Times New Roman" w:hAnsi="Times New Roman" w:cs="Times New Roman"/>
        </w:rPr>
      </w:pPr>
    </w:p>
    <w:sectPr>
      <w:pgSz w:w="16838" w:h="11906" w:orient="landscape"/>
      <w:pgMar w:top="1701" w:right="1440" w:bottom="1701" w:left="1440"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wNjBhNGIxZjE5ZGM2MTY0MTM5ZTUwOWZmNzVlY2UifQ=="/>
  </w:docVars>
  <w:rsids>
    <w:rsidRoot w:val="002549AF"/>
    <w:rsid w:val="0001671C"/>
    <w:rsid w:val="000C2AC0"/>
    <w:rsid w:val="00151111"/>
    <w:rsid w:val="001631D4"/>
    <w:rsid w:val="002549AF"/>
    <w:rsid w:val="002A462B"/>
    <w:rsid w:val="002B00F5"/>
    <w:rsid w:val="00302803"/>
    <w:rsid w:val="003539F5"/>
    <w:rsid w:val="0036692D"/>
    <w:rsid w:val="004654BF"/>
    <w:rsid w:val="00476EDE"/>
    <w:rsid w:val="00481811"/>
    <w:rsid w:val="004E48F9"/>
    <w:rsid w:val="004F56FB"/>
    <w:rsid w:val="00501570"/>
    <w:rsid w:val="00522299"/>
    <w:rsid w:val="00533655"/>
    <w:rsid w:val="00547E3C"/>
    <w:rsid w:val="00583E71"/>
    <w:rsid w:val="00583F38"/>
    <w:rsid w:val="005924F2"/>
    <w:rsid w:val="005E17C6"/>
    <w:rsid w:val="005E4D49"/>
    <w:rsid w:val="006048B7"/>
    <w:rsid w:val="006240D7"/>
    <w:rsid w:val="00631206"/>
    <w:rsid w:val="00695013"/>
    <w:rsid w:val="006B6F94"/>
    <w:rsid w:val="00744049"/>
    <w:rsid w:val="007518CE"/>
    <w:rsid w:val="007D6ABD"/>
    <w:rsid w:val="007E0BEF"/>
    <w:rsid w:val="007E43E6"/>
    <w:rsid w:val="00834B54"/>
    <w:rsid w:val="00836EEA"/>
    <w:rsid w:val="008779D5"/>
    <w:rsid w:val="008F1F90"/>
    <w:rsid w:val="00930377"/>
    <w:rsid w:val="009B7889"/>
    <w:rsid w:val="00AB2712"/>
    <w:rsid w:val="00AB6331"/>
    <w:rsid w:val="00B9575F"/>
    <w:rsid w:val="00BC2F3B"/>
    <w:rsid w:val="00C16CDA"/>
    <w:rsid w:val="00C56C64"/>
    <w:rsid w:val="00C67E0B"/>
    <w:rsid w:val="00C848CB"/>
    <w:rsid w:val="00C91108"/>
    <w:rsid w:val="00C97EB1"/>
    <w:rsid w:val="00DB63C4"/>
    <w:rsid w:val="00DE2C29"/>
    <w:rsid w:val="00E52641"/>
    <w:rsid w:val="00F64AAF"/>
    <w:rsid w:val="00F64F57"/>
    <w:rsid w:val="00FF3B84"/>
    <w:rsid w:val="04230AD7"/>
    <w:rsid w:val="14EE7043"/>
    <w:rsid w:val="22BA6B35"/>
    <w:rsid w:val="2F541A93"/>
    <w:rsid w:val="3B4C070E"/>
    <w:rsid w:val="3DBB7500"/>
    <w:rsid w:val="451E064D"/>
    <w:rsid w:val="5F2B2A5A"/>
    <w:rsid w:val="76094B8F"/>
    <w:rsid w:val="764D4548"/>
    <w:rsid w:val="7F7D0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pPr>
    <w:rPr>
      <w:rFonts w:ascii="宋体" w:hAnsi="宋体" w:eastAsia="宋体" w:cs="宋体"/>
      <w:kern w:val="0"/>
      <w:sz w:val="22"/>
      <w:szCs w:val="22"/>
      <w:lang w:val="zh-CN" w:eastAsia="zh-CN" w:bidi="zh-CN"/>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ind w:left="301"/>
      <w:outlineLvl w:val="1"/>
    </w:pPr>
    <w:rPr>
      <w:b/>
      <w:bCs/>
      <w:sz w:val="27"/>
      <w:szCs w:val="27"/>
    </w:rPr>
  </w:style>
  <w:style w:type="paragraph" w:styleId="4">
    <w:name w:val="heading 3"/>
    <w:basedOn w:val="1"/>
    <w:next w:val="1"/>
    <w:link w:val="21"/>
    <w:unhideWhenUsed/>
    <w:qFormat/>
    <w:uiPriority w:val="9"/>
    <w:pPr>
      <w:keepNext/>
      <w:keepLines/>
      <w:spacing w:before="260" w:after="260" w:line="416" w:lineRule="auto"/>
      <w:outlineLvl w:val="2"/>
    </w:pPr>
    <w:rPr>
      <w:b/>
      <w:bCs/>
      <w:sz w:val="32"/>
      <w:szCs w:val="32"/>
    </w:rPr>
  </w:style>
  <w:style w:type="character" w:default="1" w:styleId="16">
    <w:name w:val="Default Paragraph Font"/>
    <w:autoRedefine/>
    <w:semiHidden/>
    <w:unhideWhenUsed/>
    <w:qFormat/>
    <w:uiPriority w:val="1"/>
  </w:style>
  <w:style w:type="table" w:default="1" w:styleId="14">
    <w:name w:val="Normal Table"/>
    <w:autoRedefine/>
    <w:semiHidden/>
    <w:unhideWhenUsed/>
    <w:uiPriority w:val="99"/>
    <w:tblPr>
      <w:tblCellMar>
        <w:top w:w="0" w:type="dxa"/>
        <w:left w:w="108" w:type="dxa"/>
        <w:bottom w:w="0" w:type="dxa"/>
        <w:right w:w="108" w:type="dxa"/>
      </w:tblCellMar>
    </w:tblPr>
  </w:style>
  <w:style w:type="paragraph" w:styleId="5">
    <w:name w:val="Normal Indent"/>
    <w:basedOn w:val="1"/>
    <w:semiHidden/>
    <w:unhideWhenUsed/>
    <w:qFormat/>
    <w:uiPriority w:val="99"/>
    <w:pPr>
      <w:ind w:firstLine="420" w:firstLineChars="200"/>
    </w:pPr>
  </w:style>
  <w:style w:type="paragraph" w:styleId="6">
    <w:name w:val="annotation text"/>
    <w:basedOn w:val="1"/>
    <w:link w:val="26"/>
    <w:autoRedefine/>
    <w:semiHidden/>
    <w:unhideWhenUsed/>
    <w:qFormat/>
    <w:uiPriority w:val="99"/>
  </w:style>
  <w:style w:type="paragraph" w:styleId="7">
    <w:name w:val="Body Text"/>
    <w:basedOn w:val="1"/>
    <w:link w:val="20"/>
    <w:qFormat/>
    <w:uiPriority w:val="1"/>
    <w:pPr>
      <w:ind w:left="301"/>
    </w:pPr>
    <w:rPr>
      <w:sz w:val="24"/>
      <w:szCs w:val="24"/>
    </w:rPr>
  </w:style>
  <w:style w:type="paragraph" w:styleId="8">
    <w:name w:val="toc 3"/>
    <w:basedOn w:val="1"/>
    <w:next w:val="1"/>
    <w:autoRedefine/>
    <w:unhideWhenUsed/>
    <w:qFormat/>
    <w:uiPriority w:val="39"/>
    <w:pPr>
      <w:widowControl/>
      <w:autoSpaceDE/>
      <w:autoSpaceDN/>
      <w:spacing w:after="100" w:line="259" w:lineRule="auto"/>
      <w:ind w:left="440"/>
    </w:pPr>
    <w:rPr>
      <w:rFonts w:cs="Times New Roman" w:asciiTheme="minorHAnsi" w:hAnsiTheme="minorHAnsi" w:eastAsiaTheme="minorEastAsia"/>
      <w:lang w:val="en-US" w:bidi="ar-SA"/>
    </w:rPr>
  </w:style>
  <w:style w:type="paragraph" w:styleId="9">
    <w:name w:val="Balloon Text"/>
    <w:basedOn w:val="1"/>
    <w:link w:val="31"/>
    <w:autoRedefine/>
    <w:semiHidden/>
    <w:unhideWhenUsed/>
    <w:qFormat/>
    <w:uiPriority w:val="99"/>
    <w:rPr>
      <w:sz w:val="18"/>
      <w:szCs w:val="18"/>
    </w:rPr>
  </w:style>
  <w:style w:type="paragraph" w:styleId="10">
    <w:name w:val="footer"/>
    <w:basedOn w:val="1"/>
    <w:link w:val="30"/>
    <w:autoRedefine/>
    <w:unhideWhenUsed/>
    <w:qFormat/>
    <w:uiPriority w:val="99"/>
    <w:pPr>
      <w:tabs>
        <w:tab w:val="center" w:pos="4153"/>
        <w:tab w:val="right" w:pos="8306"/>
      </w:tabs>
      <w:snapToGrid w:val="0"/>
    </w:pPr>
    <w:rPr>
      <w:sz w:val="18"/>
      <w:szCs w:val="18"/>
    </w:rPr>
  </w:style>
  <w:style w:type="paragraph" w:styleId="11">
    <w:name w:val="header"/>
    <w:basedOn w:val="1"/>
    <w:link w:val="2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unhideWhenUsed/>
    <w:qFormat/>
    <w:uiPriority w:val="39"/>
    <w:pPr>
      <w:widowControl/>
      <w:autoSpaceDE/>
      <w:autoSpaceDN/>
      <w:spacing w:after="100" w:line="259" w:lineRule="auto"/>
    </w:pPr>
    <w:rPr>
      <w:rFonts w:cs="Times New Roman" w:asciiTheme="minorHAnsi" w:hAnsiTheme="minorHAnsi" w:eastAsiaTheme="minorEastAsia"/>
      <w:lang w:val="en-US" w:bidi="ar-SA"/>
    </w:rPr>
  </w:style>
  <w:style w:type="paragraph" w:styleId="13">
    <w:name w:val="toc 2"/>
    <w:basedOn w:val="1"/>
    <w:next w:val="1"/>
    <w:autoRedefine/>
    <w:unhideWhenUsed/>
    <w:qFormat/>
    <w:uiPriority w:val="39"/>
    <w:pPr>
      <w:widowControl/>
      <w:autoSpaceDE/>
      <w:autoSpaceDN/>
      <w:spacing w:after="100" w:line="259" w:lineRule="auto"/>
      <w:ind w:left="220"/>
    </w:pPr>
    <w:rPr>
      <w:rFonts w:cs="Times New Roman" w:asciiTheme="minorHAnsi" w:hAnsiTheme="minorHAnsi" w:eastAsiaTheme="minorEastAsia"/>
      <w:lang w:val="en-US" w:bidi="ar-SA"/>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autoRedefine/>
    <w:unhideWhenUsed/>
    <w:qFormat/>
    <w:uiPriority w:val="99"/>
    <w:rPr>
      <w:color w:val="0563C1" w:themeColor="hyperlink"/>
      <w:u w:val="single"/>
      <w14:textFill>
        <w14:solidFill>
          <w14:schemeClr w14:val="hlink"/>
        </w14:solidFill>
      </w14:textFill>
    </w:rPr>
  </w:style>
  <w:style w:type="character" w:styleId="18">
    <w:name w:val="annotation reference"/>
    <w:basedOn w:val="16"/>
    <w:autoRedefine/>
    <w:semiHidden/>
    <w:unhideWhenUsed/>
    <w:qFormat/>
    <w:uiPriority w:val="99"/>
    <w:rPr>
      <w:sz w:val="21"/>
      <w:szCs w:val="21"/>
    </w:rPr>
  </w:style>
  <w:style w:type="character" w:customStyle="1" w:styleId="19">
    <w:name w:val="标题 2 Char"/>
    <w:basedOn w:val="16"/>
    <w:link w:val="3"/>
    <w:autoRedefine/>
    <w:qFormat/>
    <w:uiPriority w:val="9"/>
    <w:rPr>
      <w:rFonts w:ascii="宋体" w:hAnsi="宋体" w:eastAsia="宋体" w:cs="宋体"/>
      <w:b/>
      <w:bCs/>
      <w:kern w:val="0"/>
      <w:sz w:val="27"/>
      <w:szCs w:val="27"/>
      <w:lang w:val="zh-CN" w:bidi="zh-CN"/>
    </w:rPr>
  </w:style>
  <w:style w:type="character" w:customStyle="1" w:styleId="20">
    <w:name w:val="正文文本 Char"/>
    <w:basedOn w:val="16"/>
    <w:link w:val="7"/>
    <w:autoRedefine/>
    <w:qFormat/>
    <w:uiPriority w:val="1"/>
    <w:rPr>
      <w:rFonts w:ascii="宋体" w:hAnsi="宋体" w:eastAsia="宋体" w:cs="宋体"/>
      <w:kern w:val="0"/>
      <w:sz w:val="24"/>
      <w:szCs w:val="24"/>
      <w:lang w:val="zh-CN" w:bidi="zh-CN"/>
    </w:rPr>
  </w:style>
  <w:style w:type="character" w:customStyle="1" w:styleId="21">
    <w:name w:val="标题 3 Char"/>
    <w:basedOn w:val="16"/>
    <w:link w:val="4"/>
    <w:autoRedefine/>
    <w:qFormat/>
    <w:uiPriority w:val="9"/>
    <w:rPr>
      <w:rFonts w:ascii="宋体" w:hAnsi="宋体" w:eastAsia="宋体" w:cs="宋体"/>
      <w:b/>
      <w:bCs/>
      <w:kern w:val="0"/>
      <w:sz w:val="32"/>
      <w:szCs w:val="32"/>
      <w:lang w:val="zh-CN" w:bidi="zh-CN"/>
    </w:rPr>
  </w:style>
  <w:style w:type="character" w:customStyle="1" w:styleId="22">
    <w:name w:val="标题 1 Char"/>
    <w:basedOn w:val="16"/>
    <w:link w:val="2"/>
    <w:autoRedefine/>
    <w:qFormat/>
    <w:uiPriority w:val="9"/>
    <w:rPr>
      <w:rFonts w:ascii="宋体" w:hAnsi="宋体" w:eastAsia="宋体" w:cs="宋体"/>
      <w:b/>
      <w:bCs/>
      <w:kern w:val="44"/>
      <w:sz w:val="44"/>
      <w:szCs w:val="44"/>
      <w:lang w:val="zh-CN" w:bidi="zh-CN"/>
    </w:rPr>
  </w:style>
  <w:style w:type="paragraph" w:customStyle="1" w:styleId="23">
    <w:name w:val="TOC Heading"/>
    <w:basedOn w:val="2"/>
    <w:next w:val="1"/>
    <w:autoRedefine/>
    <w:unhideWhenUsed/>
    <w:qFormat/>
    <w:uiPriority w:val="39"/>
    <w:pPr>
      <w:widowControl/>
      <w:autoSpaceDE/>
      <w:autoSpaceDN/>
      <w:spacing w:before="240" w:after="0" w:line="259" w:lineRule="auto"/>
      <w:outlineLvl w:val="9"/>
    </w:pPr>
    <w:rPr>
      <w:rFonts w:asciiTheme="majorHAnsi" w:hAnsiTheme="majorHAnsi" w:eastAsiaTheme="majorEastAsia" w:cstheme="majorBidi"/>
      <w:b w:val="0"/>
      <w:bCs w:val="0"/>
      <w:color w:val="2F5597" w:themeColor="accent1" w:themeShade="BF"/>
      <w:kern w:val="0"/>
      <w:sz w:val="32"/>
      <w:szCs w:val="32"/>
      <w:lang w:val="en-US" w:bidi="ar-SA"/>
    </w:rPr>
  </w:style>
  <w:style w:type="table" w:customStyle="1" w:styleId="24">
    <w:name w:val="Table Normal"/>
    <w:autoRedefine/>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25">
    <w:name w:val="Table Paragraph"/>
    <w:basedOn w:val="1"/>
    <w:autoRedefine/>
    <w:qFormat/>
    <w:uiPriority w:val="1"/>
  </w:style>
  <w:style w:type="character" w:customStyle="1" w:styleId="26">
    <w:name w:val="批注文字 Char"/>
    <w:basedOn w:val="16"/>
    <w:link w:val="6"/>
    <w:autoRedefine/>
    <w:semiHidden/>
    <w:qFormat/>
    <w:uiPriority w:val="99"/>
    <w:rPr>
      <w:rFonts w:ascii="宋体" w:hAnsi="宋体" w:eastAsia="宋体" w:cs="宋体"/>
      <w:kern w:val="0"/>
      <w:sz w:val="22"/>
      <w:lang w:val="zh-CN" w:bidi="zh-CN"/>
    </w:rPr>
  </w:style>
  <w:style w:type="paragraph" w:styleId="27">
    <w:name w:val="List Paragraph"/>
    <w:basedOn w:val="1"/>
    <w:autoRedefine/>
    <w:qFormat/>
    <w:uiPriority w:val="1"/>
    <w:pPr>
      <w:ind w:left="301" w:firstLine="469"/>
    </w:pPr>
  </w:style>
  <w:style w:type="paragraph" w:customStyle="1" w:styleId="28">
    <w:name w:val="表格后说明"/>
    <w:next w:val="5"/>
    <w:autoRedefine/>
    <w:qFormat/>
    <w:uiPriority w:val="3"/>
    <w:pPr>
      <w:jc w:val="both"/>
    </w:pPr>
    <w:rPr>
      <w:rFonts w:ascii="Times New Roman" w:hAnsi="Times New Roman" w:eastAsia="宋体" w:cs="Times New Roman"/>
      <w:kern w:val="2"/>
      <w:sz w:val="21"/>
      <w:szCs w:val="24"/>
      <w:lang w:val="en-US" w:eastAsia="zh-CN" w:bidi="ar-SA"/>
    </w:rPr>
  </w:style>
  <w:style w:type="character" w:customStyle="1" w:styleId="29">
    <w:name w:val="页眉 Char"/>
    <w:basedOn w:val="16"/>
    <w:link w:val="11"/>
    <w:autoRedefine/>
    <w:qFormat/>
    <w:uiPriority w:val="99"/>
    <w:rPr>
      <w:rFonts w:ascii="宋体" w:hAnsi="宋体" w:eastAsia="宋体" w:cs="宋体"/>
      <w:kern w:val="0"/>
      <w:sz w:val="18"/>
      <w:szCs w:val="18"/>
      <w:lang w:val="zh-CN" w:bidi="zh-CN"/>
    </w:rPr>
  </w:style>
  <w:style w:type="character" w:customStyle="1" w:styleId="30">
    <w:name w:val="页脚 Char"/>
    <w:basedOn w:val="16"/>
    <w:link w:val="10"/>
    <w:autoRedefine/>
    <w:qFormat/>
    <w:uiPriority w:val="99"/>
    <w:rPr>
      <w:rFonts w:ascii="宋体" w:hAnsi="宋体" w:eastAsia="宋体" w:cs="宋体"/>
      <w:kern w:val="0"/>
      <w:sz w:val="18"/>
      <w:szCs w:val="18"/>
      <w:lang w:val="zh-CN" w:bidi="zh-CN"/>
    </w:rPr>
  </w:style>
  <w:style w:type="character" w:customStyle="1" w:styleId="31">
    <w:name w:val="批注框文本 Char"/>
    <w:basedOn w:val="16"/>
    <w:link w:val="9"/>
    <w:autoRedefine/>
    <w:semiHidden/>
    <w:qFormat/>
    <w:uiPriority w:val="99"/>
    <w:rPr>
      <w:rFonts w:ascii="宋体" w:hAnsi="宋体" w:eastAsia="宋体" w:cs="宋体"/>
      <w:kern w:val="0"/>
      <w:sz w:val="18"/>
      <w:szCs w:val="18"/>
      <w:lang w:val="zh-CN" w:bidi="zh-CN"/>
    </w:rPr>
  </w:style>
  <w:style w:type="character" w:customStyle="1" w:styleId="32">
    <w:name w:val="font31"/>
    <w:basedOn w:val="16"/>
    <w:qFormat/>
    <w:uiPriority w:val="0"/>
    <w:rPr>
      <w:rFonts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DC6DD1-379A-4B4E-BF50-31A4B69AA24B}">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1828</Words>
  <Characters>2242</Characters>
  <Lines>17</Lines>
  <Paragraphs>4</Paragraphs>
  <TotalTime>2</TotalTime>
  <ScaleCrop>false</ScaleCrop>
  <LinksUpToDate>false</LinksUpToDate>
  <CharactersWithSpaces>2262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2021-11-05T06:17:00Z</dcterms:created>
  <dc:creator>陈晨</dc:creator>
  <cp:lastModifiedBy>沈煜</cp:lastModifiedBy>
  <dcterms:modified xsi:type="dcterms:W3CDTF">2024-04-23T12:39:35Z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E588C490628048E2AB6AB49B4306B516_13</vt:lpwstr>
  </property>
</Properties>
</file>