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00" w:lineRule="exact"/>
        <w:jc w:val="both"/>
        <w:rPr>
          <w:rFonts w:hint="default" w:ascii="宋体" w:hAnsi="宋体" w:eastAsia="宋体"/>
          <w:lang w:val="en-US" w:eastAsia="zh-CN"/>
        </w:rPr>
      </w:pPr>
      <w:bookmarkStart w:id="0" w:name="_GoBack"/>
      <w:bookmarkEnd w:id="0"/>
      <w:r>
        <w:rPr>
          <w:rFonts w:hint="eastAsia" w:ascii="宋体" w:hAnsi="宋体" w:cs="黑体"/>
        </w:rPr>
        <w:t>证券代码：</w:t>
      </w:r>
      <w:r>
        <w:rPr>
          <w:rFonts w:ascii="宋体" w:hAnsi="宋体"/>
        </w:rPr>
        <w:t>0020</w:t>
      </w:r>
      <w:r>
        <w:rPr>
          <w:rFonts w:hint="eastAsia" w:ascii="宋体" w:hAnsi="宋体"/>
        </w:rPr>
        <w:t>43</w:t>
      </w:r>
      <w:r>
        <w:rPr>
          <w:rFonts w:ascii="宋体" w:hAnsi="宋体"/>
        </w:rPr>
        <w:t xml:space="preserve"> </w:t>
      </w:r>
      <w:r>
        <w:rPr>
          <w:rFonts w:hint="eastAsia" w:ascii="宋体" w:hAnsi="宋体"/>
        </w:rPr>
        <w:t xml:space="preserve">           </w:t>
      </w:r>
      <w:r>
        <w:rPr>
          <w:rFonts w:hint="eastAsia" w:ascii="宋体" w:hAnsi="宋体" w:cs="黑体"/>
          <w:lang w:val="en-US" w:eastAsia="zh-CN"/>
        </w:rPr>
        <w:t>证券</w:t>
      </w:r>
      <w:r>
        <w:rPr>
          <w:rFonts w:hint="eastAsia" w:ascii="宋体" w:hAnsi="宋体" w:cs="黑体"/>
        </w:rPr>
        <w:t>简称：兔宝宝</w:t>
      </w:r>
      <w:r>
        <w:rPr>
          <w:rFonts w:ascii="宋体" w:hAnsi="宋体" w:cs="黑体"/>
        </w:rPr>
        <w:t xml:space="preserve"> </w:t>
      </w:r>
      <w:r>
        <w:rPr>
          <w:rFonts w:hint="eastAsia" w:ascii="宋体" w:hAnsi="宋体" w:cs="黑体"/>
        </w:rPr>
        <w:t xml:space="preserve">         公告编号：</w:t>
      </w:r>
      <w:r>
        <w:rPr>
          <w:rFonts w:hint="eastAsia" w:ascii="宋体" w:hAnsi="宋体"/>
        </w:rPr>
        <w:t>202</w:t>
      </w:r>
      <w:r>
        <w:rPr>
          <w:rFonts w:hint="eastAsia" w:ascii="宋体" w:hAnsi="宋体"/>
          <w:lang w:val="en-US" w:eastAsia="zh-CN"/>
        </w:rPr>
        <w:t>4</w:t>
      </w:r>
      <w:r>
        <w:rPr>
          <w:rFonts w:hint="eastAsia" w:ascii="宋体" w:hAnsi="宋体"/>
        </w:rPr>
        <w:t>-0</w:t>
      </w:r>
      <w:r>
        <w:rPr>
          <w:rFonts w:hint="eastAsia" w:ascii="宋体" w:hAnsi="宋体"/>
          <w:lang w:val="en-US" w:eastAsia="zh-CN"/>
        </w:rPr>
        <w:t>24</w:t>
      </w:r>
    </w:p>
    <w:p>
      <w:pPr>
        <w:spacing w:line="274" w:lineRule="auto"/>
        <w:rPr>
          <w:rFonts w:ascii="宋体" w:hAnsi="宋体" w:eastAsia="宋体" w:cs="宋体"/>
        </w:rPr>
      </w:pPr>
    </w:p>
    <w:p>
      <w:pPr>
        <w:spacing w:line="261" w:lineRule="auto"/>
        <w:jc w:val="center"/>
        <w:rPr>
          <w:rFonts w:ascii="宋体" w:hAnsi="宋体" w:eastAsia="宋体" w:cs="宋体"/>
          <w:sz w:val="32"/>
          <w:szCs w:val="32"/>
        </w:rPr>
      </w:pPr>
      <w:r>
        <w:rPr>
          <w:rFonts w:hint="eastAsia" w:ascii="宋体" w:hAnsi="宋体" w:eastAsia="宋体" w:cs="宋体"/>
          <w:b/>
          <w:sz w:val="32"/>
          <w:szCs w:val="32"/>
        </w:rPr>
        <w:t>德华兔宝宝装饰新材股份有限公司</w:t>
      </w:r>
    </w:p>
    <w:p>
      <w:pPr>
        <w:spacing w:line="198" w:lineRule="auto"/>
        <w:ind w:left="1547"/>
        <w:rPr>
          <w:rFonts w:ascii="宋体" w:hAnsi="宋体" w:eastAsia="宋体" w:cs="宋体"/>
          <w:sz w:val="32"/>
          <w:szCs w:val="32"/>
        </w:rPr>
      </w:pPr>
      <w:r>
        <w:rPr>
          <w:rFonts w:hint="eastAsia" w:ascii="宋体" w:hAnsi="宋体" w:eastAsia="宋体" w:cs="宋体"/>
          <w:b/>
          <w:snapToGrid/>
          <w:sz w:val="32"/>
          <w:szCs w:val="32"/>
        </w:rPr>
        <w:t>关于202</w:t>
      </w:r>
      <w:r>
        <w:rPr>
          <w:rFonts w:hint="eastAsia" w:ascii="宋体" w:hAnsi="宋体" w:eastAsia="宋体" w:cs="宋体"/>
          <w:b/>
          <w:snapToGrid/>
          <w:sz w:val="32"/>
          <w:szCs w:val="32"/>
          <w:lang w:val="en-US" w:eastAsia="zh-CN"/>
        </w:rPr>
        <w:t>3</w:t>
      </w:r>
      <w:r>
        <w:rPr>
          <w:rFonts w:hint="eastAsia" w:ascii="宋体" w:hAnsi="宋体" w:eastAsia="宋体" w:cs="宋体"/>
          <w:b/>
          <w:snapToGrid/>
          <w:sz w:val="32"/>
          <w:szCs w:val="32"/>
        </w:rPr>
        <w:t>年度计提资产减值准备的公告</w:t>
      </w:r>
    </w:p>
    <w:p/>
    <w:p>
      <w:pPr>
        <w:pStyle w:val="11"/>
        <w:spacing w:beforeLines="50" w:line="400" w:lineRule="exact"/>
        <w:ind w:firstLine="480" w:firstLineChars="200"/>
        <w:jc w:val="both"/>
        <w:rPr>
          <w:rFonts w:ascii="宋体" w:hAnsi="宋体" w:cs="黑体"/>
        </w:rPr>
      </w:pPr>
      <w:r>
        <w:rPr>
          <w:rFonts w:hint="eastAsia" w:ascii="宋体" w:hAnsi="宋体" w:cs="黑体"/>
        </w:rPr>
        <w:t>本公司及董事会全体成员保证信息披露内容的真实、准确和完整，没有虚假记载、误导性陈述或重大遗漏。</w:t>
      </w:r>
    </w:p>
    <w:p>
      <w:pPr>
        <w:pStyle w:val="11"/>
        <w:spacing w:line="380" w:lineRule="exact"/>
        <w:ind w:firstLine="480" w:firstLineChars="200"/>
        <w:jc w:val="both"/>
        <w:rPr>
          <w:rFonts w:ascii="宋体" w:hAnsi="宋体" w:cs="黑体"/>
        </w:rPr>
      </w:pPr>
    </w:p>
    <w:p>
      <w:pPr>
        <w:spacing w:before="79" w:line="420" w:lineRule="exact"/>
        <w:ind w:left="75" w:right="20" w:firstLine="482"/>
        <w:jc w:val="both"/>
        <w:outlineLvl w:val="9"/>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lang w:val="en-US" w:eastAsia="zh-CN"/>
        </w:rPr>
        <w:t>德华兔宝宝装饰新材</w:t>
      </w:r>
      <w:r>
        <w:rPr>
          <w:rFonts w:hint="eastAsia" w:ascii="宋体" w:hAnsi="宋体" w:eastAsia="宋体" w:cs="宋体"/>
          <w:b w:val="0"/>
          <w:bCs w:val="0"/>
          <w:snapToGrid w:val="0"/>
          <w:color w:val="auto"/>
          <w:sz w:val="24"/>
          <w:szCs w:val="24"/>
        </w:rPr>
        <w:t>股份有限公司（以下简称“公司”）于2024年4月</w:t>
      </w:r>
      <w:r>
        <w:rPr>
          <w:rFonts w:hint="eastAsia" w:ascii="宋体" w:hAnsi="宋体" w:eastAsia="宋体" w:cs="宋体"/>
          <w:b w:val="0"/>
          <w:bCs w:val="0"/>
          <w:snapToGrid w:val="0"/>
          <w:color w:val="auto"/>
          <w:sz w:val="24"/>
          <w:szCs w:val="24"/>
          <w:lang w:val="en-US" w:eastAsia="zh-CN"/>
        </w:rPr>
        <w:t>23</w:t>
      </w:r>
      <w:r>
        <w:rPr>
          <w:rFonts w:hint="eastAsia" w:ascii="宋体" w:hAnsi="宋体" w:eastAsia="宋体" w:cs="宋体"/>
          <w:b w:val="0"/>
          <w:bCs w:val="0"/>
          <w:snapToGrid w:val="0"/>
          <w:color w:val="auto"/>
          <w:sz w:val="24"/>
          <w:szCs w:val="24"/>
        </w:rPr>
        <w:t>日召开了第</w:t>
      </w:r>
      <w:r>
        <w:rPr>
          <w:rFonts w:hint="eastAsia" w:ascii="宋体" w:hAnsi="宋体" w:eastAsia="宋体" w:cs="宋体"/>
          <w:b w:val="0"/>
          <w:bCs w:val="0"/>
          <w:snapToGrid w:val="0"/>
          <w:color w:val="auto"/>
          <w:sz w:val="24"/>
          <w:szCs w:val="24"/>
          <w:lang w:val="en-US" w:eastAsia="zh-CN"/>
        </w:rPr>
        <w:t>八</w:t>
      </w:r>
      <w:r>
        <w:rPr>
          <w:rFonts w:hint="eastAsia" w:ascii="宋体" w:hAnsi="宋体" w:eastAsia="宋体" w:cs="宋体"/>
          <w:b w:val="0"/>
          <w:bCs w:val="0"/>
          <w:snapToGrid w:val="0"/>
          <w:color w:val="auto"/>
          <w:sz w:val="24"/>
          <w:szCs w:val="24"/>
        </w:rPr>
        <w:t>届董事会第</w:t>
      </w:r>
      <w:r>
        <w:rPr>
          <w:rFonts w:hint="eastAsia" w:ascii="宋体" w:hAnsi="宋体" w:eastAsia="宋体" w:cs="宋体"/>
          <w:b w:val="0"/>
          <w:bCs w:val="0"/>
          <w:snapToGrid w:val="0"/>
          <w:color w:val="auto"/>
          <w:sz w:val="24"/>
          <w:szCs w:val="24"/>
          <w:lang w:val="en-US" w:eastAsia="zh-CN"/>
        </w:rPr>
        <w:t>八</w:t>
      </w:r>
      <w:r>
        <w:rPr>
          <w:rFonts w:hint="eastAsia" w:ascii="宋体" w:hAnsi="宋体" w:eastAsia="宋体" w:cs="宋体"/>
          <w:b w:val="0"/>
          <w:bCs w:val="0"/>
          <w:snapToGrid w:val="0"/>
          <w:color w:val="auto"/>
          <w:sz w:val="24"/>
          <w:szCs w:val="24"/>
        </w:rPr>
        <w:t>次会议</w:t>
      </w:r>
      <w:r>
        <w:rPr>
          <w:rFonts w:hint="eastAsia" w:ascii="宋体" w:hAnsi="宋体" w:eastAsia="宋体" w:cs="宋体"/>
          <w:b w:val="0"/>
          <w:bCs w:val="0"/>
          <w:snapToGrid w:val="0"/>
          <w:color w:val="auto"/>
          <w:sz w:val="24"/>
          <w:szCs w:val="24"/>
          <w:lang w:eastAsia="zh-CN"/>
        </w:rPr>
        <w:t>、</w:t>
      </w:r>
      <w:r>
        <w:rPr>
          <w:rFonts w:hint="eastAsia" w:ascii="宋体" w:hAnsi="宋体" w:eastAsia="宋体" w:cs="宋体"/>
          <w:b w:val="0"/>
          <w:bCs w:val="0"/>
          <w:snapToGrid w:val="0"/>
          <w:color w:val="auto"/>
          <w:sz w:val="24"/>
          <w:szCs w:val="24"/>
          <w:lang w:val="en-US" w:eastAsia="zh-CN"/>
        </w:rPr>
        <w:t>第八届监事会第五次会议</w:t>
      </w:r>
      <w:r>
        <w:rPr>
          <w:rFonts w:hint="eastAsia" w:ascii="宋体" w:hAnsi="宋体" w:eastAsia="宋体" w:cs="宋体"/>
          <w:b w:val="0"/>
          <w:bCs w:val="0"/>
          <w:snapToGrid w:val="0"/>
          <w:color w:val="auto"/>
          <w:sz w:val="24"/>
          <w:szCs w:val="24"/>
        </w:rPr>
        <w:t>，审议通过了《关于2023年度计提信用减值及资产减值准备的议案》。根据《企业会计准则》《深圳证券交易所上市公司自律监管指引第1号——主板上市公司规范运作》等相关规定，公司对可能存在减值迹象的相关资产计提减值准备，现将具体内容公告如下：</w:t>
      </w:r>
    </w:p>
    <w:p>
      <w:pPr>
        <w:spacing w:before="120" w:line="420" w:lineRule="exact"/>
        <w:ind w:left="561"/>
        <w:outlineLvl w:val="0"/>
      </w:pPr>
      <w:r>
        <w:rPr>
          <w:rFonts w:hint="eastAsia" w:ascii="宋体" w:hAnsi="宋体" w:eastAsia="宋体" w:cs="黑体"/>
          <w:b/>
          <w:bCs/>
          <w:snapToGrid/>
          <w:sz w:val="24"/>
          <w:szCs w:val="24"/>
        </w:rPr>
        <w:t>一、本次计提资产减值准备情况</w:t>
      </w:r>
    </w:p>
    <w:p>
      <w:pPr>
        <w:spacing w:before="79" w:line="420" w:lineRule="exact"/>
        <w:ind w:left="75" w:right="20" w:firstLine="482"/>
        <w:jc w:val="both"/>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年度，房地产企业流动资金紧张，出现了较大范围的账款逾期支付情况。</w:t>
      </w:r>
      <w:r>
        <w:rPr>
          <w:rFonts w:hint="eastAsia" w:ascii="宋体" w:hAnsi="宋体" w:eastAsia="宋体" w:cs="宋体"/>
          <w:color w:val="auto"/>
          <w:spacing w:val="2"/>
          <w:sz w:val="24"/>
          <w:szCs w:val="24"/>
          <w:lang w:val="en-US" w:eastAsia="zh-CN"/>
        </w:rPr>
        <w:t>公司</w:t>
      </w:r>
      <w:r>
        <w:rPr>
          <w:rFonts w:hint="eastAsia" w:ascii="宋体" w:hAnsi="宋体" w:eastAsia="宋体" w:cs="宋体"/>
          <w:color w:val="auto"/>
          <w:sz w:val="24"/>
          <w:szCs w:val="24"/>
        </w:rPr>
        <w:t>子公司青岛裕丰汉唐木业有限公司（以下简称“青岛裕丰汉唐”）主营精装工程业务，其针对部分地产客户的应收账款及应收票据出现不同程度的逾期情况，</w:t>
      </w:r>
      <w:r>
        <w:rPr>
          <w:rFonts w:hint="eastAsia" w:ascii="宋体" w:hAnsi="宋体" w:eastAsia="宋体" w:cs="宋体"/>
          <w:color w:val="auto"/>
          <w:spacing w:val="4"/>
          <w:sz w:val="24"/>
          <w:szCs w:val="24"/>
        </w:rPr>
        <w:t>根据《企</w:t>
      </w:r>
      <w:r>
        <w:rPr>
          <w:rFonts w:hint="eastAsia" w:ascii="宋体" w:hAnsi="宋体" w:eastAsia="宋体" w:cs="宋体"/>
          <w:color w:val="auto"/>
          <w:spacing w:val="3"/>
          <w:sz w:val="24"/>
          <w:szCs w:val="24"/>
        </w:rPr>
        <w:t>业</w:t>
      </w:r>
      <w:r>
        <w:rPr>
          <w:rFonts w:hint="eastAsia" w:ascii="宋体" w:hAnsi="宋体" w:eastAsia="宋体" w:cs="宋体"/>
          <w:color w:val="auto"/>
          <w:spacing w:val="2"/>
          <w:sz w:val="24"/>
          <w:szCs w:val="24"/>
        </w:rPr>
        <w:t>会计准则》及</w:t>
      </w:r>
      <w:r>
        <w:rPr>
          <w:rFonts w:hint="eastAsia" w:ascii="宋体" w:hAnsi="宋体" w:eastAsia="宋体" w:cs="宋体"/>
          <w:color w:val="auto"/>
          <w:spacing w:val="-6"/>
          <w:sz w:val="24"/>
          <w:szCs w:val="24"/>
        </w:rPr>
        <w:t>会计政策的相关规定，公司对包括</w:t>
      </w:r>
      <w:r>
        <w:rPr>
          <w:rFonts w:hint="eastAsia" w:ascii="宋体" w:hAnsi="宋体" w:eastAsia="宋体" w:cs="宋体"/>
          <w:color w:val="auto"/>
          <w:sz w:val="24"/>
          <w:szCs w:val="24"/>
        </w:rPr>
        <w:t>青岛裕丰汉唐在内的</w:t>
      </w:r>
      <w:r>
        <w:rPr>
          <w:rFonts w:hint="eastAsia" w:ascii="宋体" w:hAnsi="宋体" w:eastAsia="宋体" w:cs="宋体"/>
          <w:color w:val="auto"/>
          <w:spacing w:val="-6"/>
          <w:sz w:val="24"/>
          <w:szCs w:val="24"/>
        </w:rPr>
        <w:t>合并报表范围内各公司202</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年12月末所属资产</w:t>
      </w:r>
      <w:r>
        <w:rPr>
          <w:rFonts w:hint="eastAsia" w:ascii="宋体" w:hAnsi="宋体" w:eastAsia="宋体" w:cs="宋体"/>
          <w:color w:val="auto"/>
          <w:spacing w:val="-14"/>
          <w:sz w:val="24"/>
          <w:szCs w:val="24"/>
        </w:rPr>
        <w:t>进</w:t>
      </w:r>
      <w:r>
        <w:rPr>
          <w:rFonts w:hint="eastAsia" w:ascii="宋体" w:hAnsi="宋体" w:eastAsia="宋体" w:cs="宋体"/>
          <w:color w:val="auto"/>
          <w:spacing w:val="-13"/>
          <w:sz w:val="24"/>
          <w:szCs w:val="24"/>
        </w:rPr>
        <w:t>行</w:t>
      </w:r>
      <w:r>
        <w:rPr>
          <w:rFonts w:hint="eastAsia" w:ascii="宋体" w:hAnsi="宋体" w:eastAsia="宋体" w:cs="宋体"/>
          <w:color w:val="auto"/>
          <w:spacing w:val="-7"/>
          <w:sz w:val="24"/>
          <w:szCs w:val="24"/>
        </w:rPr>
        <w:t>了减值测试，</w:t>
      </w:r>
      <w:r>
        <w:rPr>
          <w:rFonts w:hint="eastAsia" w:ascii="宋体" w:hAnsi="宋体" w:eastAsia="宋体" w:cs="宋体"/>
          <w:color w:val="auto"/>
          <w:spacing w:val="-7"/>
          <w:sz w:val="24"/>
          <w:szCs w:val="24"/>
          <w:lang w:val="en-US" w:eastAsia="zh-CN"/>
        </w:rPr>
        <w:t>基于</w:t>
      </w:r>
      <w:r>
        <w:rPr>
          <w:rFonts w:hint="eastAsia" w:ascii="宋体" w:hAnsi="宋体" w:eastAsia="宋体" w:cs="宋体"/>
          <w:color w:val="auto"/>
          <w:spacing w:val="-7"/>
          <w:sz w:val="24"/>
          <w:szCs w:val="24"/>
        </w:rPr>
        <w:t>谨慎原则，对可能发生资产减值损失的相关资产计提减值准</w:t>
      </w:r>
      <w:r>
        <w:rPr>
          <w:rFonts w:hint="eastAsia" w:ascii="宋体" w:hAnsi="宋体" w:eastAsia="宋体" w:cs="宋体"/>
          <w:color w:val="auto"/>
          <w:spacing w:val="-4"/>
          <w:sz w:val="24"/>
          <w:szCs w:val="24"/>
        </w:rPr>
        <w:t>备</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2"/>
          <w:sz w:val="24"/>
          <w:szCs w:val="24"/>
        </w:rPr>
        <w:t>202</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年全年计提资产减值准备金额合计为</w:t>
      </w:r>
      <w:r>
        <w:rPr>
          <w:rFonts w:hint="eastAsia" w:ascii="宋体" w:hAnsi="宋体" w:eastAsia="宋体" w:cs="宋体"/>
          <w:color w:val="auto"/>
          <w:spacing w:val="-2"/>
          <w:sz w:val="24"/>
          <w:szCs w:val="24"/>
          <w:lang w:val="en-US" w:eastAsia="zh-CN"/>
        </w:rPr>
        <w:t>23,594.42</w:t>
      </w:r>
      <w:r>
        <w:rPr>
          <w:rFonts w:hint="eastAsia" w:ascii="宋体" w:hAnsi="宋体" w:eastAsia="宋体" w:cs="宋体"/>
          <w:color w:val="auto"/>
          <w:spacing w:val="-2"/>
          <w:sz w:val="24"/>
          <w:szCs w:val="24"/>
        </w:rPr>
        <w:t>万元，本次计提资产减</w:t>
      </w:r>
      <w:r>
        <w:rPr>
          <w:rFonts w:hint="eastAsia" w:ascii="宋体" w:hAnsi="宋体" w:eastAsia="宋体" w:cs="宋体"/>
          <w:color w:val="auto"/>
          <w:spacing w:val="-4"/>
          <w:sz w:val="24"/>
          <w:szCs w:val="24"/>
        </w:rPr>
        <w:t>值准备情况</w:t>
      </w:r>
      <w:r>
        <w:rPr>
          <w:rFonts w:hint="eastAsia" w:ascii="宋体" w:hAnsi="宋体" w:eastAsia="宋体" w:cs="宋体"/>
          <w:color w:val="auto"/>
          <w:spacing w:val="-4"/>
          <w:sz w:val="24"/>
          <w:szCs w:val="24"/>
          <w:lang w:val="en-US" w:eastAsia="zh-CN"/>
        </w:rPr>
        <w:t>已</w:t>
      </w:r>
      <w:r>
        <w:rPr>
          <w:rFonts w:hint="eastAsia" w:ascii="宋体" w:hAnsi="宋体" w:eastAsia="宋体" w:cs="宋体"/>
          <w:color w:val="auto"/>
          <w:spacing w:val="-4"/>
          <w:sz w:val="24"/>
          <w:szCs w:val="24"/>
        </w:rPr>
        <w:t>经</w:t>
      </w:r>
      <w:r>
        <w:rPr>
          <w:rFonts w:hint="eastAsia" w:ascii="宋体" w:hAnsi="宋体" w:eastAsia="宋体" w:cs="宋体"/>
          <w:color w:val="auto"/>
          <w:spacing w:val="-2"/>
          <w:sz w:val="24"/>
          <w:szCs w:val="24"/>
        </w:rPr>
        <w:t>会计师事务所审计。具体明细如下：</w:t>
      </w:r>
    </w:p>
    <w:p>
      <w:pPr>
        <w:spacing w:before="79" w:line="420" w:lineRule="exact"/>
        <w:ind w:left="75" w:right="20" w:firstLine="482"/>
        <w:jc w:val="right"/>
        <w:rPr>
          <w:rFonts w:ascii="宋体" w:hAnsi="宋体" w:eastAsia="宋体" w:cs="宋体"/>
          <w:color w:val="auto"/>
          <w:spacing w:val="-2"/>
          <w:sz w:val="24"/>
          <w:szCs w:val="24"/>
        </w:rPr>
      </w:pPr>
      <w:r>
        <w:rPr>
          <w:rFonts w:ascii="宋体" w:hAnsi="宋体" w:eastAsia="宋体" w:cs="宋体"/>
          <w:color w:val="auto"/>
          <w:spacing w:val="-2"/>
          <w:sz w:val="24"/>
          <w:szCs w:val="24"/>
        </w:rPr>
        <w:t>金额：</w:t>
      </w:r>
      <w:r>
        <w:rPr>
          <w:rFonts w:hint="eastAsia" w:ascii="宋体" w:hAnsi="宋体" w:eastAsia="宋体" w:cs="宋体"/>
          <w:color w:val="auto"/>
          <w:spacing w:val="-2"/>
          <w:sz w:val="24"/>
          <w:szCs w:val="24"/>
          <w:lang w:val="en-US" w:eastAsia="zh-CN"/>
        </w:rPr>
        <w:t>万</w:t>
      </w:r>
      <w:r>
        <w:rPr>
          <w:rFonts w:ascii="宋体" w:hAnsi="宋体" w:eastAsia="宋体" w:cs="宋体"/>
          <w:color w:val="auto"/>
          <w:spacing w:val="-2"/>
          <w:sz w:val="24"/>
          <w:szCs w:val="24"/>
        </w:rPr>
        <w:t>元</w:t>
      </w:r>
    </w:p>
    <w:p>
      <w:pPr>
        <w:spacing w:line="84" w:lineRule="exact"/>
        <w:rPr>
          <w:color w:val="auto"/>
        </w:rPr>
      </w:pPr>
    </w:p>
    <w:tbl>
      <w:tblPr>
        <w:tblStyle w:val="9"/>
        <w:tblW w:w="9085"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2020"/>
        <w:gridCol w:w="1496"/>
        <w:gridCol w:w="4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72" w:type="dxa"/>
            <w:vAlign w:val="center"/>
          </w:tcPr>
          <w:p>
            <w:pPr>
              <w:spacing w:line="360" w:lineRule="exact"/>
              <w:jc w:val="center"/>
              <w:outlineLvl w:val="0"/>
              <w:rPr>
                <w:rFonts w:ascii="宋体" w:hAnsi="宋体" w:eastAsia="宋体" w:cs="黑体"/>
                <w:snapToGrid/>
                <w:color w:val="auto"/>
                <w:sz w:val="24"/>
                <w:szCs w:val="24"/>
                <w:highlight w:val="none"/>
              </w:rPr>
            </w:pPr>
            <w:r>
              <w:rPr>
                <w:rFonts w:hint="eastAsia" w:ascii="宋体" w:hAnsi="宋体" w:eastAsia="宋体" w:cs="黑体"/>
                <w:snapToGrid/>
                <w:color w:val="auto"/>
                <w:sz w:val="24"/>
                <w:szCs w:val="24"/>
                <w:highlight w:val="none"/>
              </w:rPr>
              <w:t>序号</w:t>
            </w:r>
          </w:p>
        </w:tc>
        <w:tc>
          <w:tcPr>
            <w:tcW w:w="2020" w:type="dxa"/>
            <w:vAlign w:val="center"/>
          </w:tcPr>
          <w:p>
            <w:pPr>
              <w:spacing w:line="360" w:lineRule="exact"/>
              <w:jc w:val="center"/>
              <w:outlineLvl w:val="0"/>
              <w:rPr>
                <w:rFonts w:ascii="宋体" w:hAnsi="宋体" w:eastAsia="宋体" w:cs="黑体"/>
                <w:snapToGrid/>
                <w:color w:val="auto"/>
                <w:sz w:val="24"/>
                <w:szCs w:val="24"/>
                <w:highlight w:val="none"/>
              </w:rPr>
            </w:pPr>
            <w:r>
              <w:rPr>
                <w:rFonts w:hint="eastAsia" w:ascii="宋体" w:hAnsi="宋体" w:eastAsia="宋体" w:cs="黑体"/>
                <w:snapToGrid/>
                <w:color w:val="auto"/>
                <w:sz w:val="24"/>
                <w:szCs w:val="24"/>
                <w:highlight w:val="none"/>
              </w:rPr>
              <w:t>项目</w:t>
            </w:r>
          </w:p>
        </w:tc>
        <w:tc>
          <w:tcPr>
            <w:tcW w:w="1496" w:type="dxa"/>
            <w:vAlign w:val="center"/>
          </w:tcPr>
          <w:p>
            <w:pPr>
              <w:spacing w:line="360" w:lineRule="exact"/>
              <w:jc w:val="center"/>
              <w:outlineLvl w:val="0"/>
              <w:rPr>
                <w:rFonts w:ascii="宋体" w:hAnsi="宋体" w:eastAsia="宋体" w:cs="黑体"/>
                <w:snapToGrid/>
                <w:color w:val="auto"/>
                <w:sz w:val="24"/>
                <w:szCs w:val="24"/>
                <w:highlight w:val="none"/>
              </w:rPr>
            </w:pPr>
            <w:r>
              <w:rPr>
                <w:rFonts w:hint="eastAsia" w:ascii="宋体" w:hAnsi="宋体" w:eastAsia="宋体" w:cs="黑体"/>
                <w:snapToGrid/>
                <w:color w:val="auto"/>
                <w:sz w:val="24"/>
                <w:szCs w:val="24"/>
                <w:highlight w:val="none"/>
              </w:rPr>
              <w:t>计提资产减值准备金额</w:t>
            </w:r>
          </w:p>
        </w:tc>
        <w:tc>
          <w:tcPr>
            <w:tcW w:w="4897" w:type="dxa"/>
            <w:vAlign w:val="center"/>
          </w:tcPr>
          <w:p>
            <w:pPr>
              <w:spacing w:line="360" w:lineRule="exact"/>
              <w:jc w:val="center"/>
              <w:outlineLvl w:val="0"/>
              <w:rPr>
                <w:rFonts w:ascii="宋体" w:hAnsi="宋体" w:eastAsia="宋体" w:cs="黑体"/>
                <w:snapToGrid/>
                <w:color w:val="auto"/>
                <w:sz w:val="24"/>
                <w:szCs w:val="24"/>
                <w:highlight w:val="none"/>
              </w:rPr>
            </w:pPr>
            <w:r>
              <w:rPr>
                <w:rFonts w:hint="eastAsia" w:ascii="宋体" w:hAnsi="宋体" w:eastAsia="宋体" w:cs="黑体"/>
                <w:snapToGrid/>
                <w:color w:val="auto"/>
                <w:sz w:val="24"/>
                <w:szCs w:val="24"/>
                <w:highlight w:val="none"/>
              </w:rPr>
              <w:t>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2" w:type="dxa"/>
            <w:vAlign w:val="center"/>
          </w:tcPr>
          <w:p>
            <w:pPr>
              <w:spacing w:line="360" w:lineRule="exact"/>
              <w:ind w:left="30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20" w:type="dxa"/>
            <w:vAlign w:val="center"/>
          </w:tcPr>
          <w:p>
            <w:pPr>
              <w:spacing w:line="360" w:lineRule="exact"/>
              <w:ind w:left="109"/>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信用减</w:t>
            </w:r>
            <w:r>
              <w:rPr>
                <w:rFonts w:hint="eastAsia" w:ascii="宋体" w:hAnsi="宋体" w:eastAsia="宋体" w:cs="宋体"/>
                <w:color w:val="auto"/>
                <w:sz w:val="24"/>
                <w:szCs w:val="24"/>
                <w:highlight w:val="none"/>
              </w:rPr>
              <w:t>值损失</w:t>
            </w:r>
          </w:p>
        </w:tc>
        <w:tc>
          <w:tcPr>
            <w:tcW w:w="1496" w:type="dxa"/>
            <w:vAlign w:val="center"/>
          </w:tcPr>
          <w:p>
            <w:pPr>
              <w:spacing w:line="360" w:lineRule="exact"/>
              <w:ind w:left="109"/>
              <w:jc w:val="center"/>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22</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378</w:t>
            </w:r>
            <w:r>
              <w:rPr>
                <w:rFonts w:hint="eastAsia" w:ascii="宋体" w:hAnsi="宋体" w:eastAsia="宋体" w:cs="宋体"/>
                <w:color w:val="auto"/>
                <w:spacing w:val="-1"/>
                <w:sz w:val="24"/>
                <w:szCs w:val="24"/>
                <w:highlight w:val="none"/>
                <w:lang w:val="en-US" w:eastAsia="zh-CN"/>
              </w:rPr>
              <w:t>.40</w:t>
            </w:r>
          </w:p>
        </w:tc>
        <w:tc>
          <w:tcPr>
            <w:tcW w:w="4897" w:type="dxa"/>
          </w:tcPr>
          <w:p>
            <w:pPr>
              <w:spacing w:line="360" w:lineRule="exact"/>
              <w:ind w:left="109"/>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主要对青岛裕丰汉唐应收款项及应收票据以预期信用损失为基础确认损失准备。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2" w:type="dxa"/>
            <w:vAlign w:val="center"/>
          </w:tcPr>
          <w:p>
            <w:pPr>
              <w:spacing w:line="360" w:lineRule="exact"/>
              <w:ind w:left="30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20" w:type="dxa"/>
            <w:vAlign w:val="center"/>
          </w:tcPr>
          <w:p>
            <w:pPr>
              <w:spacing w:line="360" w:lineRule="exact"/>
              <w:ind w:left="109"/>
              <w:jc w:val="center"/>
              <w:rPr>
                <w:rFonts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合同资产减值损失</w:t>
            </w:r>
          </w:p>
        </w:tc>
        <w:tc>
          <w:tcPr>
            <w:tcW w:w="1496" w:type="dxa"/>
            <w:vAlign w:val="center"/>
          </w:tcPr>
          <w:p>
            <w:pPr>
              <w:spacing w:line="360" w:lineRule="exact"/>
              <w:ind w:right="97"/>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-469.36</w:t>
            </w:r>
          </w:p>
        </w:tc>
        <w:tc>
          <w:tcPr>
            <w:tcW w:w="4897" w:type="dxa"/>
          </w:tcPr>
          <w:p>
            <w:pPr>
              <w:spacing w:line="360" w:lineRule="exact"/>
              <w:ind w:left="111" w:right="119"/>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对应收质保金</w:t>
            </w:r>
            <w:r>
              <w:rPr>
                <w:rFonts w:hint="eastAsia" w:ascii="宋体" w:hAnsi="宋体" w:eastAsia="宋体" w:cs="宋体"/>
                <w:color w:val="auto"/>
                <w:sz w:val="24"/>
                <w:szCs w:val="24"/>
                <w:highlight w:val="none"/>
              </w:rPr>
              <w:t>以预期信用损失为基础确</w:t>
            </w:r>
            <w:r>
              <w:rPr>
                <w:rFonts w:hint="eastAsia" w:ascii="宋体" w:hAnsi="宋体" w:eastAsia="宋体" w:cs="宋体"/>
                <w:color w:val="auto"/>
                <w:spacing w:val="-1"/>
                <w:sz w:val="24"/>
                <w:szCs w:val="24"/>
                <w:highlight w:val="none"/>
              </w:rPr>
              <w:t>认损失</w:t>
            </w:r>
            <w:r>
              <w:rPr>
                <w:rFonts w:hint="eastAsia" w:ascii="宋体" w:hAnsi="宋体" w:eastAsia="宋体" w:cs="宋体"/>
                <w:color w:val="auto"/>
                <w:sz w:val="24"/>
                <w:szCs w:val="24"/>
                <w:highlight w:val="none"/>
              </w:rPr>
              <w:t>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2" w:type="dxa"/>
            <w:vAlign w:val="center"/>
          </w:tcPr>
          <w:p>
            <w:pPr>
              <w:spacing w:line="360" w:lineRule="exact"/>
              <w:ind w:left="282"/>
              <w:jc w:val="both"/>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2020" w:type="dxa"/>
            <w:vAlign w:val="center"/>
          </w:tcPr>
          <w:p>
            <w:pPr>
              <w:spacing w:line="360" w:lineRule="exact"/>
              <w:ind w:left="108"/>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存货</w:t>
            </w:r>
            <w:r>
              <w:rPr>
                <w:rFonts w:hint="eastAsia" w:ascii="宋体" w:hAnsi="宋体" w:eastAsia="宋体" w:cs="宋体"/>
                <w:sz w:val="24"/>
                <w:szCs w:val="24"/>
                <w:highlight w:val="none"/>
              </w:rPr>
              <w:t>跌价损失</w:t>
            </w:r>
          </w:p>
        </w:tc>
        <w:tc>
          <w:tcPr>
            <w:tcW w:w="1496" w:type="dxa"/>
            <w:vAlign w:val="center"/>
          </w:tcPr>
          <w:p>
            <w:pPr>
              <w:spacing w:line="360" w:lineRule="exact"/>
              <w:ind w:right="98"/>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958.75</w:t>
            </w:r>
          </w:p>
        </w:tc>
        <w:tc>
          <w:tcPr>
            <w:tcW w:w="4897" w:type="dxa"/>
          </w:tcPr>
          <w:p>
            <w:pPr>
              <w:spacing w:line="360" w:lineRule="exact"/>
              <w:ind w:left="111" w:right="104"/>
              <w:rPr>
                <w:rFonts w:ascii="宋体" w:hAnsi="宋体" w:eastAsia="宋体" w:cs="宋体"/>
                <w:sz w:val="24"/>
                <w:szCs w:val="24"/>
                <w:highlight w:val="none"/>
              </w:rPr>
            </w:pPr>
            <w:r>
              <w:rPr>
                <w:rFonts w:hint="eastAsia" w:ascii="宋体" w:hAnsi="宋体" w:eastAsia="宋体" w:cs="宋体"/>
                <w:sz w:val="24"/>
                <w:szCs w:val="24"/>
                <w:highlight w:val="none"/>
              </w:rPr>
              <w:t>对公司账面由于市场</w:t>
            </w:r>
            <w:r>
              <w:rPr>
                <w:rFonts w:hint="eastAsia" w:ascii="宋体" w:hAnsi="宋体" w:eastAsia="宋体" w:cs="宋体"/>
                <w:spacing w:val="1"/>
                <w:sz w:val="24"/>
                <w:szCs w:val="24"/>
                <w:highlight w:val="none"/>
              </w:rPr>
              <w:t>需求变化或原材料质量问题</w:t>
            </w:r>
            <w:r>
              <w:rPr>
                <w:rFonts w:hint="eastAsia" w:ascii="宋体" w:hAnsi="宋体" w:eastAsia="宋体" w:cs="宋体"/>
                <w:sz w:val="24"/>
                <w:szCs w:val="24"/>
                <w:highlight w:val="none"/>
              </w:rPr>
              <w:t>等情况导</w:t>
            </w:r>
            <w:r>
              <w:rPr>
                <w:rFonts w:hint="eastAsia" w:ascii="宋体" w:hAnsi="宋体" w:eastAsia="宋体" w:cs="宋体"/>
                <w:spacing w:val="-1"/>
                <w:sz w:val="24"/>
                <w:szCs w:val="24"/>
                <w:highlight w:val="none"/>
              </w:rPr>
              <w:t>致的可变现净值较低或呆</w:t>
            </w:r>
            <w:r>
              <w:rPr>
                <w:rFonts w:hint="eastAsia" w:ascii="宋体" w:hAnsi="宋体" w:eastAsia="宋体" w:cs="宋体"/>
                <w:sz w:val="24"/>
                <w:szCs w:val="24"/>
                <w:highlight w:val="none"/>
              </w:rPr>
              <w:t>滞、不良库存计提减值准备。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72" w:type="dxa"/>
            <w:vAlign w:val="center"/>
          </w:tcPr>
          <w:p>
            <w:pPr>
              <w:spacing w:line="360" w:lineRule="exact"/>
              <w:ind w:left="281" w:leftChars="0"/>
              <w:jc w:val="both"/>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4</w:t>
            </w:r>
          </w:p>
        </w:tc>
        <w:tc>
          <w:tcPr>
            <w:tcW w:w="2020" w:type="dxa"/>
            <w:vAlign w:val="center"/>
          </w:tcPr>
          <w:p>
            <w:pPr>
              <w:spacing w:line="360" w:lineRule="exact"/>
              <w:ind w:left="113" w:leftChars="0"/>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pacing w:val="-2"/>
                <w:sz w:val="24"/>
                <w:szCs w:val="24"/>
                <w:highlight w:val="none"/>
              </w:rPr>
              <w:t>商</w:t>
            </w:r>
            <w:r>
              <w:rPr>
                <w:rFonts w:hint="eastAsia" w:ascii="宋体" w:hAnsi="宋体" w:eastAsia="宋体" w:cs="宋体"/>
                <w:spacing w:val="-1"/>
                <w:sz w:val="24"/>
                <w:szCs w:val="24"/>
                <w:highlight w:val="none"/>
              </w:rPr>
              <w:t>誉减值损失</w:t>
            </w:r>
          </w:p>
        </w:tc>
        <w:tc>
          <w:tcPr>
            <w:tcW w:w="1496" w:type="dxa"/>
            <w:vAlign w:val="center"/>
          </w:tcPr>
          <w:p>
            <w:pPr>
              <w:spacing w:line="360" w:lineRule="exact"/>
              <w:ind w:right="100" w:rightChars="0"/>
              <w:jc w:val="right"/>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lang w:val="en-US" w:eastAsia="zh-CN"/>
              </w:rPr>
              <w:t>78.23</w:t>
            </w:r>
          </w:p>
        </w:tc>
        <w:tc>
          <w:tcPr>
            <w:tcW w:w="4897" w:type="dxa"/>
            <w:vAlign w:val="top"/>
          </w:tcPr>
          <w:p>
            <w:pPr>
              <w:spacing w:line="360" w:lineRule="exact"/>
              <w:ind w:left="111" w:leftChars="0" w:right="78" w:rightChars="37" w:firstLine="1" w:firstLineChars="0"/>
              <w:rPr>
                <w:rFonts w:hint="eastAsia" w:ascii="宋体" w:hAnsi="宋体" w:eastAsia="宋体" w:cs="宋体"/>
                <w:snapToGrid w:val="0"/>
                <w:color w:val="000000"/>
                <w:sz w:val="24"/>
                <w:szCs w:val="24"/>
                <w:highlight w:val="none"/>
                <w:lang w:val="en-US" w:eastAsia="zh-CN" w:bidi="ar-SA"/>
              </w:rPr>
            </w:pPr>
            <w:r>
              <w:rPr>
                <w:rFonts w:ascii="宋体" w:hAnsi="宋体" w:eastAsia="宋体" w:cs="宋体"/>
                <w:sz w:val="24"/>
                <w:szCs w:val="24"/>
                <w:highlight w:val="none"/>
              </w:rPr>
              <w:t>公司收购青岛裕丰汉唐</w:t>
            </w:r>
            <w:r>
              <w:rPr>
                <w:rFonts w:hint="eastAsia" w:ascii="宋体" w:hAnsi="宋体" w:eastAsia="宋体" w:cs="宋体"/>
                <w:sz w:val="24"/>
                <w:szCs w:val="24"/>
                <w:highlight w:val="none"/>
                <w:lang w:val="en-US" w:eastAsia="zh-CN"/>
              </w:rPr>
              <w:t>木业有限公司股权，</w:t>
            </w:r>
            <w:r>
              <w:rPr>
                <w:rFonts w:hint="eastAsia" w:ascii="宋体" w:hAnsi="宋体" w:eastAsia="宋体" w:cs="宋体"/>
                <w:sz w:val="24"/>
                <w:szCs w:val="24"/>
                <w:highlight w:val="none"/>
              </w:rPr>
              <w:t>因确认递延所得税负债而形成的非核心商誉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公司按照递延所得税负债自购买日至期末已摊销的同等金额计提归属于公司的商誉减值准备</w:t>
            </w:r>
            <w:r>
              <w:rPr>
                <w:rFonts w:hint="eastAsia" w:ascii="宋体" w:hAnsi="宋体" w:eastAsia="宋体" w:cs="宋体"/>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72" w:type="dxa"/>
            <w:vAlign w:val="center"/>
          </w:tcPr>
          <w:p>
            <w:pPr>
              <w:spacing w:line="360" w:lineRule="exact"/>
              <w:ind w:left="281"/>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020" w:type="dxa"/>
            <w:vAlign w:val="center"/>
          </w:tcPr>
          <w:p>
            <w:pPr>
              <w:spacing w:line="360" w:lineRule="exact"/>
              <w:ind w:left="113"/>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其他长期资产减值准备</w:t>
            </w:r>
          </w:p>
        </w:tc>
        <w:tc>
          <w:tcPr>
            <w:tcW w:w="1496" w:type="dxa"/>
            <w:vAlign w:val="center"/>
          </w:tcPr>
          <w:p>
            <w:pPr>
              <w:spacing w:line="360" w:lineRule="exact"/>
              <w:ind w:right="100"/>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648.40</w:t>
            </w:r>
          </w:p>
        </w:tc>
        <w:tc>
          <w:tcPr>
            <w:tcW w:w="4897" w:type="dxa"/>
          </w:tcPr>
          <w:p>
            <w:pPr>
              <w:bidi w:val="0"/>
              <w:spacing w:line="360" w:lineRule="exact"/>
              <w:ind w:left="111" w:right="78" w:rightChars="37" w:firstLine="1"/>
              <w:jc w:val="left"/>
              <w:rPr>
                <w:rFonts w:hint="eastAsia"/>
                <w:highlight w:val="none"/>
                <w:lang w:val="en-US" w:eastAsia="zh-CN"/>
              </w:rPr>
            </w:pPr>
            <w:r>
              <w:rPr>
                <w:rFonts w:hint="eastAsia" w:ascii="宋体" w:hAnsi="宋体" w:eastAsia="宋体" w:cs="宋体"/>
                <w:sz w:val="24"/>
                <w:szCs w:val="24"/>
                <w:highlight w:val="none"/>
                <w:lang w:val="en-US" w:eastAsia="zh-CN"/>
              </w:rPr>
              <w:t>公司对为回收应收账款抵入的房产，根据期末可收回金额低于账面价值的差额，计提减值准备。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692" w:type="dxa"/>
            <w:gridSpan w:val="2"/>
          </w:tcPr>
          <w:p>
            <w:pPr>
              <w:spacing w:line="360" w:lineRule="exact"/>
              <w:ind w:left="1132"/>
              <w:rPr>
                <w:rFonts w:ascii="宋体" w:hAnsi="宋体" w:eastAsia="宋体" w:cs="宋体"/>
                <w:sz w:val="24"/>
                <w:szCs w:val="24"/>
                <w:highlight w:val="none"/>
              </w:rPr>
            </w:pPr>
            <w:r>
              <w:rPr>
                <w:rFonts w:hint="eastAsia" w:ascii="宋体" w:hAnsi="宋体" w:eastAsia="宋体" w:cs="黑体"/>
                <w:snapToGrid/>
                <w:sz w:val="24"/>
                <w:szCs w:val="24"/>
                <w:highlight w:val="none"/>
              </w:rPr>
              <w:t>合计</w:t>
            </w:r>
          </w:p>
        </w:tc>
        <w:tc>
          <w:tcPr>
            <w:tcW w:w="1496" w:type="dxa"/>
          </w:tcPr>
          <w:p>
            <w:pPr>
              <w:spacing w:line="360" w:lineRule="exact"/>
              <w:ind w:right="102"/>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23,594.42</w:t>
            </w:r>
          </w:p>
        </w:tc>
        <w:tc>
          <w:tcPr>
            <w:tcW w:w="4897" w:type="dxa"/>
          </w:tcPr>
          <w:p>
            <w:pPr>
              <w:spacing w:line="360" w:lineRule="exact"/>
              <w:rPr>
                <w:rFonts w:ascii="宋体" w:hAnsi="宋体" w:eastAsia="宋体" w:cs="宋体"/>
                <w:sz w:val="24"/>
                <w:szCs w:val="24"/>
                <w:highlight w:val="none"/>
              </w:rPr>
            </w:pPr>
          </w:p>
        </w:tc>
      </w:tr>
    </w:tbl>
    <w:p>
      <w:pPr>
        <w:spacing w:before="120" w:line="360" w:lineRule="auto"/>
        <w:ind w:left="561"/>
        <w:outlineLvl w:val="0"/>
        <w:rPr>
          <w:rFonts w:ascii="宋体" w:hAnsi="宋体" w:eastAsia="宋体" w:cs="黑体"/>
          <w:b/>
          <w:bCs/>
          <w:snapToGrid/>
          <w:sz w:val="24"/>
          <w:szCs w:val="24"/>
          <w:highlight w:val="none"/>
        </w:rPr>
      </w:pPr>
      <w:r>
        <w:rPr>
          <w:rFonts w:hint="eastAsia" w:ascii="宋体" w:hAnsi="宋体" w:eastAsia="宋体" w:cs="黑体"/>
          <w:b/>
          <w:bCs/>
          <w:snapToGrid/>
          <w:sz w:val="24"/>
          <w:szCs w:val="24"/>
          <w:highlight w:val="none"/>
        </w:rPr>
        <w:t>二、计提资产减值准备的确认标准和计提方法</w:t>
      </w:r>
    </w:p>
    <w:p>
      <w:pPr>
        <w:spacing w:before="78" w:line="360" w:lineRule="auto"/>
        <w:ind w:left="496"/>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（一）</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金融工具减值的确认标准和计提方法</w:t>
      </w:r>
    </w:p>
    <w:p>
      <w:pPr>
        <w:pStyle w:val="3"/>
        <w:spacing w:line="360" w:lineRule="auto"/>
        <w:ind w:firstLine="480" w:firstLineChars="200"/>
        <w:rPr>
          <w:rFonts w:hint="eastAsia" w:eastAsia="宋体" w:cs="宋体"/>
          <w:sz w:val="24"/>
          <w:szCs w:val="24"/>
          <w:highlight w:val="none"/>
        </w:rPr>
      </w:pPr>
      <w:r>
        <w:rPr>
          <w:rFonts w:hint="eastAsia" w:eastAsia="宋体" w:cs="宋体"/>
          <w:sz w:val="24"/>
          <w:szCs w:val="24"/>
          <w:highlight w:val="none"/>
        </w:rPr>
        <w:t xml:space="preserve"> 金融工具减值计量和会计处理</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w:t>
      </w:r>
      <w:r>
        <w:rPr>
          <w:rFonts w:hint="eastAsia" w:ascii="宋体" w:hAnsi="宋体" w:eastAsia="宋体" w:cs="宋体"/>
          <w:sz w:val="24"/>
          <w:szCs w:val="24"/>
          <w:highlight w:val="none"/>
        </w:rPr>
        <w:t>金融资产转移</w:t>
      </w:r>
      <w:r>
        <w:rPr>
          <w:rFonts w:hint="eastAsia" w:ascii="宋体" w:hAnsi="宋体" w:eastAsia="宋体" w:cs="宋体"/>
          <w:kern w:val="0"/>
          <w:sz w:val="24"/>
          <w:szCs w:val="24"/>
          <w:highlight w:val="none"/>
        </w:rPr>
        <w:t>不符合终止确认条件或继续涉入被转移金融资产所形成的金融负债</w:t>
      </w:r>
      <w:r>
        <w:rPr>
          <w:rFonts w:hint="eastAsia" w:ascii="宋体" w:hAnsi="宋体" w:eastAsia="宋体" w:cs="宋体"/>
          <w:sz w:val="24"/>
          <w:szCs w:val="24"/>
          <w:highlight w:val="none"/>
        </w:rPr>
        <w:t>的财务担保合同</w:t>
      </w:r>
      <w:r>
        <w:rPr>
          <w:rFonts w:hint="eastAsia" w:ascii="宋体" w:hAnsi="宋体" w:eastAsia="宋体" w:cs="宋体"/>
          <w:kern w:val="0"/>
          <w:sz w:val="24"/>
          <w:szCs w:val="24"/>
          <w:highlight w:val="none"/>
        </w:rPr>
        <w:t>进行减值处理并确认损失准备。</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对于购买或源生的已发生信用减值的金融资产，公司在资产负债表日仅将自初始确认后整个存续期内预期信用损失的累计变动确认为损失准备。</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对于租赁应收款、由《企业会计准则第14号——收入》规范的交易形成的应收款项及合同资产，公司运用简化计量方法，按照相当于整个存续期内的预期信用损失金额计量损失准备。</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pPr>
        <w:autoSpaceDE w:val="0"/>
        <w:autoSpaceDN w:val="0"/>
        <w:spacing w:line="360" w:lineRule="auto"/>
        <w:ind w:firstLine="480" w:firstLineChars="200"/>
        <w:rPr>
          <w:rFonts w:hint="eastAsia" w:ascii="宋体" w:hAnsi="宋体" w:eastAsia="宋体" w:cs="宋体"/>
          <w:i/>
          <w:kern w:val="0"/>
          <w:sz w:val="24"/>
          <w:szCs w:val="24"/>
          <w:highlight w:val="none"/>
        </w:rPr>
      </w:pPr>
      <w:r>
        <w:rPr>
          <w:rFonts w:hint="eastAsia" w:ascii="宋体" w:hAnsi="宋体" w:eastAsia="宋体" w:cs="宋体"/>
          <w:kern w:val="0"/>
          <w:sz w:val="24"/>
          <w:szCs w:val="24"/>
          <w:highlight w:val="none"/>
        </w:rPr>
        <w:t>公司利用可获得的合理且有依据的信息，包括前瞻性信息，通过比较金融工具在资产负债表日发生违约的风险与在初始确认日发生违约的风险，以确定金融工具的信用风险自初始确认后是否已显著增加。</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于资产负债表日，若公司判断金融工具只具有较低的信用风险，则假定该金融工具的信用风险自初始确认后并未显著增加。</w:t>
      </w:r>
    </w:p>
    <w:p>
      <w:pPr>
        <w:pStyle w:val="5"/>
        <w:adjustRightInd/>
        <w:spacing w:after="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公司以单项金融工具或金融工具组合为基础评估预期信用风险和计量预期信用损失。当以金融工具组合为基础时，公司以共同风险特征为依据，将金融工具划分为不同组合。</w:t>
      </w:r>
    </w:p>
    <w:p>
      <w:pPr>
        <w:pStyle w:val="5"/>
        <w:adjustRightInd/>
        <w:spacing w:after="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pPr>
        <w:pStyle w:val="3"/>
        <w:spacing w:line="360" w:lineRule="auto"/>
        <w:ind w:firstLine="480" w:firstLineChars="200"/>
        <w:rPr>
          <w:rFonts w:hint="eastAsia" w:eastAsia="宋体" w:cs="宋体"/>
          <w:sz w:val="24"/>
          <w:szCs w:val="24"/>
          <w:highlight w:val="none"/>
        </w:rPr>
      </w:pPr>
      <w:r>
        <w:rPr>
          <w:rFonts w:hint="eastAsia" w:eastAsia="宋体" w:cs="宋体"/>
          <w:sz w:val="24"/>
          <w:szCs w:val="24"/>
          <w:highlight w:val="none"/>
        </w:rPr>
        <w:t xml:space="preserve"> </w:t>
      </w:r>
      <w:r>
        <w:rPr>
          <w:rFonts w:hint="eastAsia" w:ascii="宋体" w:hAnsi="宋体" w:eastAsia="宋体" w:cs="宋体"/>
          <w:sz w:val="24"/>
          <w:szCs w:val="24"/>
          <w:highlight w:val="none"/>
        </w:rPr>
        <w:t>应收款项和合同资产预期信用损失的确认标准和计提方法</w:t>
      </w:r>
    </w:p>
    <w:p>
      <w:pPr>
        <w:numPr>
          <w:ilvl w:val="0"/>
          <w:numId w:val="0"/>
        </w:num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按信用风险特征组合计提预期信用损失的应收款项和合同资产</w:t>
      </w:r>
    </w:p>
    <w:tbl>
      <w:tblPr>
        <w:tblStyle w:val="7"/>
        <w:tblW w:w="8306" w:type="dxa"/>
        <w:jc w:val="center"/>
        <w:tblCaption w:val="D:\兔宝宝\23年年报\0-报告+TB\0-兔宝宝股份23年度审计报告\1-兔宝宝公司2023年度审计报告|兔宝宝股份公司2023年度财务报表附注.xlsx|W附注模板|_jds2|0|desc|||0|1"/>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04"/>
        <w:gridCol w:w="4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16" w:type="dxa"/>
            <w:shd w:val="clear" w:color="auto" w:fill="auto"/>
            <w:vAlign w:val="center"/>
          </w:tcPr>
          <w:p>
            <w:pPr>
              <w:adjustRightInd w:val="0"/>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组合类别</w:t>
            </w:r>
          </w:p>
        </w:tc>
        <w:tc>
          <w:tcPr>
            <w:tcW w:w="1704" w:type="dxa"/>
            <w:shd w:val="clear" w:color="auto" w:fill="auto"/>
            <w:vAlign w:val="center"/>
          </w:tcPr>
          <w:p>
            <w:pPr>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确定组合的依据</w:t>
            </w:r>
          </w:p>
        </w:tc>
        <w:tc>
          <w:tcPr>
            <w:tcW w:w="4286" w:type="dxa"/>
            <w:shd w:val="clear" w:color="auto" w:fill="auto"/>
            <w:vAlign w:val="center"/>
          </w:tcPr>
          <w:p>
            <w:pPr>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计量预期信用损失的方法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应收银行承兑汇票</w:t>
            </w:r>
          </w:p>
        </w:tc>
        <w:tc>
          <w:tcPr>
            <w:tcW w:w="1704" w:type="dxa"/>
            <w:vMerge w:val="restart"/>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票据类型</w:t>
            </w:r>
          </w:p>
        </w:tc>
        <w:tc>
          <w:tcPr>
            <w:tcW w:w="4286" w:type="dxa"/>
            <w:vMerge w:val="restart"/>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参考历史信用损失经验，结合当前状况以及对未来经济状况的预测，通过违约风险敞口和整个存续期预期信用损失率，计算预期信用损失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应收商业承兑汇票</w:t>
            </w:r>
          </w:p>
        </w:tc>
        <w:tc>
          <w:tcPr>
            <w:tcW w:w="1704" w:type="dxa"/>
            <w:vMerge w:val="continue"/>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p>
        </w:tc>
        <w:tc>
          <w:tcPr>
            <w:tcW w:w="4286" w:type="dxa"/>
            <w:vMerge w:val="continue"/>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应收账款——账龄组合</w:t>
            </w:r>
          </w:p>
        </w:tc>
        <w:tc>
          <w:tcPr>
            <w:tcW w:w="1704"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账  龄</w:t>
            </w:r>
          </w:p>
        </w:tc>
        <w:tc>
          <w:tcPr>
            <w:tcW w:w="428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参考历史信用损失经验，结合当前状况以及对未来经济状况的预测，编制应收账款账龄与预期信用损失率对照表，计算预期信用损失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应收账款——合并范围内关联往来组合</w:t>
            </w:r>
          </w:p>
        </w:tc>
        <w:tc>
          <w:tcPr>
            <w:tcW w:w="1704"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合并范围内关联方[注]</w:t>
            </w:r>
          </w:p>
        </w:tc>
        <w:tc>
          <w:tcPr>
            <w:tcW w:w="428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参考历史信用损失经验，结合当前状况以及对未来经济状况的预测，通过违约风险敞口和整个存续期预期信用损失率，计算预期信用损失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其他应收款——应收政府款项组合</w:t>
            </w:r>
          </w:p>
        </w:tc>
        <w:tc>
          <w:tcPr>
            <w:tcW w:w="1704"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款项性质</w:t>
            </w:r>
          </w:p>
        </w:tc>
        <w:tc>
          <w:tcPr>
            <w:tcW w:w="4286" w:type="dxa"/>
            <w:vMerge w:val="restart"/>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参考历史信用损失经验，结合当前状况以及对未来经济状况的预测，通过违约风险敞口和未来12个月内或整个存续期预期信用损失率，计算预期信用损失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其他应收款——合并范围内关联往来组合</w:t>
            </w:r>
          </w:p>
        </w:tc>
        <w:tc>
          <w:tcPr>
            <w:tcW w:w="1704"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合并范围内关联方[注]</w:t>
            </w:r>
          </w:p>
        </w:tc>
        <w:tc>
          <w:tcPr>
            <w:tcW w:w="4286" w:type="dxa"/>
            <w:vMerge w:val="continue"/>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31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其他应收款——账龄组合</w:t>
            </w:r>
          </w:p>
        </w:tc>
        <w:tc>
          <w:tcPr>
            <w:tcW w:w="1704"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账  龄</w:t>
            </w:r>
          </w:p>
        </w:tc>
        <w:tc>
          <w:tcPr>
            <w:tcW w:w="4286" w:type="dxa"/>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参考历史信用损失经验，结合当前状况以及对未来经济状况的预测，编制其他应收款账龄与预期信用损失率对照表，计算预期信用损失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16" w:type="dxa"/>
            <w:tcBorders>
              <w:bottom w:val="single" w:color="auto" w:sz="4" w:space="0"/>
            </w:tcBorders>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kern w:val="0"/>
                <w:sz w:val="24"/>
                <w:szCs w:val="24"/>
                <w:highlight w:val="none"/>
              </w:rPr>
              <w:t>合同资产——未到期质保金组合</w:t>
            </w:r>
          </w:p>
        </w:tc>
        <w:tc>
          <w:tcPr>
            <w:tcW w:w="1704" w:type="dxa"/>
            <w:tcBorders>
              <w:bottom w:val="single" w:color="auto" w:sz="4" w:space="0"/>
            </w:tcBorders>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账  龄</w:t>
            </w:r>
          </w:p>
        </w:tc>
        <w:tc>
          <w:tcPr>
            <w:tcW w:w="4286" w:type="dxa"/>
            <w:tcBorders>
              <w:bottom w:val="single" w:color="auto" w:sz="4" w:space="0"/>
            </w:tcBorders>
            <w:shd w:val="clear" w:color="auto" w:fill="auto"/>
            <w:vAlign w:val="center"/>
          </w:tcPr>
          <w:p>
            <w:pPr>
              <w:adjustRightInd w:val="0"/>
              <w:spacing w:line="360" w:lineRule="auto"/>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参考历史信用损失经验，结合当前状况以及对未来经济状况的预测，编制合同资产账龄与预期信用损失率对照表，计算预期信用损失</w:t>
            </w:r>
          </w:p>
        </w:tc>
      </w:tr>
    </w:tbl>
    <w:p>
      <w:pPr>
        <w:spacing w:line="360" w:lineRule="auto"/>
        <w:ind w:firstLine="480" w:firstLineChars="200"/>
        <w:rPr>
          <w:rFonts w:hint="eastAsia" w:ascii="宋体" w:hAnsi="宋体" w:eastAsia="宋体" w:cs="宋体"/>
          <w:iCs/>
          <w:sz w:val="24"/>
          <w:szCs w:val="24"/>
          <w:highlight w:val="none"/>
        </w:rPr>
      </w:pPr>
      <w:r>
        <w:rPr>
          <w:rFonts w:hint="eastAsia" w:ascii="宋体" w:hAnsi="宋体" w:eastAsia="宋体" w:cs="宋体"/>
          <w:iCs/>
          <w:sz w:val="24"/>
          <w:szCs w:val="24"/>
          <w:highlight w:val="none"/>
        </w:rPr>
        <w:t>[注]系德华兔宝宝装饰新材股份有限公司及其合并财务报表范围内企业</w:t>
      </w:r>
    </w:p>
    <w:p>
      <w:pPr>
        <w:pStyle w:val="5"/>
        <w:numPr>
          <w:ilvl w:val="0"/>
          <w:numId w:val="0"/>
        </w:numPr>
        <w:tabs>
          <w:tab w:val="left" w:pos="3555"/>
        </w:tabs>
        <w:adjustRightInd/>
        <w:spacing w:after="0" w:line="360" w:lineRule="auto"/>
        <w:ind w:firstLine="480" w:firstLineChars="200"/>
        <w:jc w:val="both"/>
        <w:rPr>
          <w:rFonts w:hint="eastAsia" w:ascii="宋体" w:hAnsi="宋体" w:eastAsia="宋体" w:cs="宋体"/>
          <w:iCs/>
          <w:sz w:val="24"/>
          <w:szCs w:val="24"/>
          <w:highlight w:val="none"/>
        </w:rPr>
      </w:pPr>
      <w:r>
        <w:rPr>
          <w:rFonts w:hint="eastAsia" w:ascii="宋体" w:hAnsi="宋体" w:eastAsia="宋体" w:cs="宋体"/>
          <w:iCs/>
          <w:sz w:val="24"/>
          <w:szCs w:val="24"/>
          <w:highlight w:val="none"/>
          <w:lang w:val="en-US" w:eastAsia="zh-CN"/>
        </w:rPr>
        <w:t>2）</w:t>
      </w:r>
      <w:r>
        <w:rPr>
          <w:rFonts w:hint="eastAsia" w:ascii="宋体" w:hAnsi="宋体" w:eastAsia="宋体" w:cs="宋体"/>
          <w:iCs/>
          <w:sz w:val="24"/>
          <w:szCs w:val="24"/>
          <w:highlight w:val="none"/>
        </w:rPr>
        <w:t>账龄组合的账龄与预期信用损失率对照表</w:t>
      </w:r>
    </w:p>
    <w:p>
      <w:pPr>
        <w:spacing w:line="360" w:lineRule="auto"/>
        <w:ind w:firstLine="480" w:firstLineChars="200"/>
        <w:rPr>
          <w:rFonts w:hint="eastAsia" w:ascii="宋体" w:hAnsi="宋体" w:eastAsia="宋体" w:cs="宋体"/>
          <w:iCs/>
          <w:sz w:val="24"/>
          <w:szCs w:val="24"/>
          <w:highlight w:val="none"/>
        </w:rPr>
      </w:pPr>
      <w:r>
        <w:rPr>
          <w:rFonts w:hint="eastAsia" w:ascii="宋体" w:hAnsi="宋体" w:eastAsia="宋体" w:cs="宋体"/>
          <w:iCs/>
          <w:sz w:val="24"/>
          <w:szCs w:val="24"/>
          <w:highlight w:val="none"/>
        </w:rPr>
        <w:t>应收账款/其他应收款/合同资产的账龄自款项实际发生的月份起算。</w:t>
      </w:r>
    </w:p>
    <w:p>
      <w:pPr>
        <w:pStyle w:val="5"/>
        <w:numPr>
          <w:ilvl w:val="0"/>
          <w:numId w:val="0"/>
        </w:numPr>
        <w:adjustRightInd/>
        <w:spacing w:after="0" w:line="360" w:lineRule="auto"/>
        <w:ind w:firstLine="480" w:firstLineChars="200"/>
        <w:jc w:val="both"/>
        <w:rPr>
          <w:rFonts w:hint="eastAsia" w:ascii="宋体" w:hAnsi="宋体" w:eastAsia="宋体" w:cs="宋体"/>
          <w:iCs/>
          <w:sz w:val="24"/>
          <w:szCs w:val="24"/>
          <w:highlight w:val="none"/>
        </w:rPr>
      </w:pPr>
      <w:r>
        <w:rPr>
          <w:rFonts w:hint="eastAsia" w:ascii="宋体" w:hAnsi="宋体" w:eastAsia="宋体" w:cs="宋体"/>
          <w:sz w:val="24"/>
          <w:szCs w:val="24"/>
          <w:highlight w:val="none"/>
        </w:rPr>
        <w:t>①工程销售业务账龄组合的账龄与整个存续期预期信用损失率对照表</w:t>
      </w:r>
    </w:p>
    <w:tbl>
      <w:tblPr>
        <w:tblStyle w:val="7"/>
        <w:tblW w:w="4998" w:type="pct"/>
        <w:tblCaption w:val="D:\兔宝宝\23年年报\0-报告+TB\0-兔宝宝股份23年度审计报告\1-兔宝宝公司2023年度审计报告|兔宝宝股份公司2023年度财务报表附注.xlsx|W附注模板|_jds3|0|desc|||0|1"/>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242"/>
        <w:gridCol w:w="2242"/>
        <w:gridCol w:w="2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76" w:type="pct"/>
            <w:shd w:val="clear" w:color="auto" w:fill="auto"/>
            <w:vAlign w:val="center"/>
          </w:tcPr>
          <w:p>
            <w:pPr>
              <w:pStyle w:val="5"/>
              <w:spacing w:after="0" w:line="360" w:lineRule="auto"/>
              <w:ind w:firstLine="240" w:firstLineChars="100"/>
              <w:rPr>
                <w:rFonts w:hint="eastAsia" w:ascii="宋体" w:hAnsi="宋体" w:eastAsia="宋体" w:cs="宋体"/>
                <w:iCs/>
                <w:sz w:val="24"/>
                <w:szCs w:val="24"/>
                <w:highlight w:val="none"/>
              </w:rPr>
            </w:pPr>
            <w:r>
              <w:rPr>
                <w:rFonts w:hint="eastAsia" w:ascii="宋体" w:hAnsi="宋体" w:eastAsia="宋体" w:cs="宋体"/>
                <w:iCs/>
                <w:sz w:val="24"/>
                <w:szCs w:val="24"/>
                <w:highlight w:val="none"/>
              </w:rPr>
              <w:t>账龄</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应收账款</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其他应收款</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合同资产</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1年以内（含，下同）</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1-2年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2-3年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3年以上</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r>
    </w:tbl>
    <w:p>
      <w:pPr>
        <w:pStyle w:val="5"/>
        <w:numPr>
          <w:ilvl w:val="0"/>
          <w:numId w:val="0"/>
        </w:numPr>
        <w:adjustRightInd/>
        <w:spacing w:after="0"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②工程销售业务外的其他销售业务账龄组合的账龄与整个存续期预期信用损失率对照表</w:t>
      </w:r>
    </w:p>
    <w:tbl>
      <w:tblPr>
        <w:tblStyle w:val="7"/>
        <w:tblW w:w="4998" w:type="pct"/>
        <w:tblCaption w:val="D:\兔宝宝\23年年报\0-报告+TB\0-兔宝宝股份23年度审计报告\1-兔宝宝公司2023年度审计报告|兔宝宝股份公司2023年度财务报表附注.xlsx|W附注模板|_jds4|0|desc|||0|1"/>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242"/>
        <w:gridCol w:w="2242"/>
        <w:gridCol w:w="2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76" w:type="pct"/>
            <w:shd w:val="clear" w:color="auto" w:fill="auto"/>
            <w:vAlign w:val="center"/>
          </w:tcPr>
          <w:p>
            <w:pPr>
              <w:pStyle w:val="5"/>
              <w:spacing w:after="0" w:line="360" w:lineRule="auto"/>
              <w:ind w:firstLine="240" w:firstLineChars="100"/>
              <w:rPr>
                <w:rFonts w:hint="eastAsia" w:ascii="宋体" w:hAnsi="宋体" w:eastAsia="宋体" w:cs="宋体"/>
                <w:iCs/>
                <w:sz w:val="24"/>
                <w:szCs w:val="24"/>
                <w:highlight w:val="none"/>
              </w:rPr>
            </w:pPr>
            <w:r>
              <w:rPr>
                <w:rFonts w:hint="eastAsia" w:ascii="宋体" w:hAnsi="宋体" w:eastAsia="宋体" w:cs="宋体"/>
                <w:iCs/>
                <w:sz w:val="24"/>
                <w:szCs w:val="24"/>
                <w:highlight w:val="none"/>
              </w:rPr>
              <w:t>账龄</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应收账款</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其他应收款</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合同资产</w:t>
            </w:r>
          </w:p>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预期信用损失率（%）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1年以内（含，下同）</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5.90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5.90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5.90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1-2年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12.96</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12.96</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12.96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2-3年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22.40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22.40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22.40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3-4年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40.25</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40.25</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40.25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4-5年</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64.73</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64.73</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64.73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pct"/>
            <w:shd w:val="clear" w:color="auto" w:fill="auto"/>
            <w:vAlign w:val="center"/>
          </w:tcPr>
          <w:p>
            <w:pPr>
              <w:pStyle w:val="5"/>
              <w:spacing w:after="0"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5年以上</w:t>
            </w:r>
          </w:p>
        </w:tc>
        <w:tc>
          <w:tcPr>
            <w:tcW w:w="1207" w:type="pct"/>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c>
          <w:tcPr>
            <w:tcW w:w="2058" w:type="dxa"/>
            <w:shd w:val="clear" w:color="auto" w:fill="auto"/>
            <w:vAlign w:val="center"/>
          </w:tcPr>
          <w:p>
            <w:pPr>
              <w:pStyle w:val="5"/>
              <w:spacing w:after="0" w:line="360" w:lineRule="auto"/>
              <w:jc w:val="center"/>
              <w:rPr>
                <w:rFonts w:hint="eastAsia" w:ascii="宋体" w:hAnsi="宋体" w:eastAsia="宋体" w:cs="宋体"/>
                <w:iCs/>
                <w:sz w:val="24"/>
                <w:szCs w:val="24"/>
                <w:highlight w:val="none"/>
              </w:rPr>
            </w:pPr>
            <w:r>
              <w:rPr>
                <w:rFonts w:hint="eastAsia" w:ascii="宋体" w:hAnsi="宋体" w:eastAsia="宋体" w:cs="宋体"/>
                <w:iCs/>
                <w:sz w:val="24"/>
                <w:szCs w:val="24"/>
                <w:highlight w:val="none"/>
              </w:rPr>
              <w:t>100.00</w:t>
            </w:r>
          </w:p>
        </w:tc>
      </w:tr>
    </w:tbl>
    <w:p>
      <w:pPr>
        <w:numPr>
          <w:ilvl w:val="0"/>
          <w:numId w:val="0"/>
        </w:numPr>
        <w:spacing w:line="360" w:lineRule="auto"/>
        <w:ind w:firstLine="240" w:firstLineChars="100"/>
        <w:rPr>
          <w:rFonts w:hint="eastAsia" w:ascii="宋体" w:hAnsi="宋体" w:eastAsia="宋体" w:cs="宋体"/>
          <w:iCs/>
          <w:sz w:val="24"/>
          <w:szCs w:val="24"/>
          <w:highlight w:val="none"/>
        </w:rPr>
      </w:pPr>
      <w:r>
        <w:rPr>
          <w:rFonts w:hint="eastAsia" w:ascii="宋体" w:hAnsi="宋体" w:eastAsia="宋体" w:cs="宋体"/>
          <w:iCs/>
          <w:sz w:val="24"/>
          <w:szCs w:val="24"/>
          <w:highlight w:val="none"/>
          <w:lang w:val="en-US" w:eastAsia="zh-CN"/>
        </w:rPr>
        <w:t>3）</w:t>
      </w:r>
      <w:r>
        <w:rPr>
          <w:rFonts w:hint="eastAsia" w:ascii="宋体" w:hAnsi="宋体" w:eastAsia="宋体" w:cs="宋体"/>
          <w:iCs/>
          <w:sz w:val="24"/>
          <w:szCs w:val="24"/>
          <w:highlight w:val="none"/>
        </w:rPr>
        <w:t>按单项计提预期信用损失的应收款项和合同资产的认定标准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Cs/>
          <w:sz w:val="24"/>
          <w:szCs w:val="24"/>
          <w:highlight w:val="none"/>
        </w:rPr>
        <w:t>对信用风险与组合信用风险显著不同的应收款项和合同资产，公司按单项计提预期信用损失。</w:t>
      </w:r>
    </w:p>
    <w:p>
      <w:pPr>
        <w:pStyle w:val="2"/>
        <w:numPr>
          <w:ilvl w:val="2"/>
          <w:numId w:val="0"/>
        </w:numPr>
        <w:spacing w:line="360" w:lineRule="auto"/>
        <w:ind w:left="420" w:leftChars="200"/>
        <w:rPr>
          <w:rFonts w:hint="eastAsia" w:ascii="宋体" w:hAnsi="宋体" w:eastAsia="宋体" w:cs="宋体"/>
          <w:sz w:val="24"/>
          <w:szCs w:val="24"/>
          <w:highlight w:val="none"/>
        </w:rPr>
      </w:pPr>
      <w:r>
        <w:rPr>
          <w:rFonts w:hint="eastAsia" w:eastAsia="宋体" w:cs="宋体"/>
          <w:spacing w:val="8"/>
          <w:sz w:val="24"/>
          <w:szCs w:val="24"/>
          <w:highlight w:val="none"/>
        </w:rPr>
        <w:t>(二</w:t>
      </w:r>
      <w:r>
        <w:rPr>
          <w:rFonts w:hint="eastAsia" w:eastAsia="宋体" w:cs="宋体"/>
          <w:spacing w:val="5"/>
          <w:sz w:val="24"/>
          <w:szCs w:val="24"/>
          <w:highlight w:val="none"/>
        </w:rPr>
        <w:t>)</w:t>
      </w:r>
      <w:r>
        <w:rPr>
          <w:rFonts w:hint="eastAsia" w:eastAsia="宋体" w:cs="宋体"/>
          <w:spacing w:val="4"/>
          <w:sz w:val="24"/>
          <w:szCs w:val="24"/>
          <w:highlight w:val="none"/>
        </w:rPr>
        <w:t xml:space="preserve"> </w:t>
      </w:r>
      <w:r>
        <w:rPr>
          <w:rFonts w:hint="eastAsia" w:eastAsia="宋体" w:cs="宋体"/>
          <w:sz w:val="24"/>
          <w:szCs w:val="24"/>
          <w:highlight w:val="none"/>
        </w:rPr>
        <w:t>存货</w:t>
      </w:r>
      <w:r>
        <w:rPr>
          <w:rFonts w:hint="eastAsia" w:eastAsia="宋体" w:cs="宋体"/>
          <w:spacing w:val="11"/>
          <w:sz w:val="24"/>
          <w:szCs w:val="24"/>
          <w:highlight w:val="none"/>
        </w:rPr>
        <w:t>减值准备</w:t>
      </w:r>
      <w:r>
        <w:rPr>
          <w:rFonts w:hint="eastAsia" w:eastAsia="宋体" w:cs="宋体"/>
          <w:sz w:val="24"/>
          <w:szCs w:val="24"/>
          <w:highlight w:val="none"/>
        </w:rPr>
        <w:t>的确认标准和计提方法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产负债表日，存货采用成本与可变现净值孰低计量，按照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pPr>
        <w:spacing w:before="131" w:line="360" w:lineRule="auto"/>
        <w:ind w:left="487"/>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(三</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11"/>
          <w:sz w:val="24"/>
          <w:szCs w:val="24"/>
          <w:highlight w:val="none"/>
        </w:rPr>
        <w:t>商誉减值准备的确认标准及计提方法</w:t>
      </w:r>
    </w:p>
    <w:p>
      <w:pPr>
        <w:pStyle w:val="5"/>
        <w:adjustRightInd/>
        <w:spacing w:after="0"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于在财务报表中单独列示的商誉，无论是否存在减值迹象，至少每年进行减值测试。对于因公司合并形成的商誉的账面价值，自购买日起按照合理的方法分摊至相关的资产组；难以分摊至相关资产组的，将其分摊至相关的资产组组合。在将商誉的账面价值分摊至相关的资产组或资产组组合时，按照各资产组或资产组组合的公允价值占资产组或资产组组合公允价值总额的比例进行分摊。公允价值难以可靠计量的，按照各资产组或资产组组合的账面价值占资产组或资产组组合账面价值总额的比例进行分摊。</w:t>
      </w:r>
    </w:p>
    <w:p>
      <w:pPr>
        <w:pStyle w:val="5"/>
        <w:adjustRightInd/>
        <w:spacing w:after="0"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对包含商誉的相关资产组或资产组组合进行减值测试时，如果与商誉相关的资产组或资产组组合存在减值迹象的，先对不包含商誉的资产组或资产组组合进行减值测试，计算其可收回金额，并与相关账面价值进行比较，确认相应的减值损失。再对包含商誉的资产组或资产组组合进行减值测试，比较这些相关资产组或资产组组合的账面价值(包括所分摊的商誉的账面价值部分)与其可收回金额，如相关资产组或资产组组合的可收回金额低于其账面价值的，先对商誉确认减值，超过商誉的部分，分摊到资产组或资产组组合中确认减值。</w:t>
      </w:r>
    </w:p>
    <w:p>
      <w:pPr>
        <w:pStyle w:val="5"/>
        <w:numPr>
          <w:ilvl w:val="0"/>
          <w:numId w:val="2"/>
        </w:numPr>
        <w:adjustRightInd/>
        <w:spacing w:after="0" w:line="360" w:lineRule="auto"/>
        <w:ind w:left="48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部分长期资产减值准备</w:t>
      </w:r>
    </w:p>
    <w:p>
      <w:pPr>
        <w:pStyle w:val="5"/>
        <w:adjustRightInd/>
        <w:spacing w:after="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长期股权投资、采用成本模式计量的投资性房地产、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若上述长期资产的可收回金额低于其账面价值的，按其差额确认资产减值准备并计入当期损益。</w:t>
      </w:r>
    </w:p>
    <w:p>
      <w:pPr>
        <w:pStyle w:val="5"/>
        <w:adjustRightInd/>
        <w:ind w:firstLine="420"/>
        <w:jc w:val="both"/>
        <w:rPr>
          <w:rFonts w:ascii="宋体" w:hAnsi="宋体" w:eastAsia="宋体" w:cs="黑体"/>
          <w:b/>
          <w:bCs/>
          <w:snapToGrid/>
          <w:sz w:val="24"/>
          <w:szCs w:val="24"/>
        </w:rPr>
      </w:pPr>
      <w:r>
        <w:rPr>
          <w:rFonts w:hint="eastAsia" w:ascii="宋体" w:hAnsi="宋体" w:eastAsia="宋体" w:cs="黑体"/>
          <w:b/>
          <w:bCs/>
          <w:snapToGrid/>
          <w:sz w:val="24"/>
          <w:szCs w:val="24"/>
        </w:rPr>
        <w:t>三、本次计提减值准备金额对本公司的影响</w:t>
      </w:r>
    </w:p>
    <w:p>
      <w:pPr>
        <w:spacing w:line="420" w:lineRule="exact"/>
        <w:ind w:left="5" w:right="3" w:firstLine="492"/>
        <w:jc w:val="both"/>
        <w:rPr>
          <w:rFonts w:hint="eastAsia" w:ascii="宋体" w:hAnsi="宋体" w:eastAsia="宋体" w:cs="宋体"/>
          <w:spacing w:val="-5"/>
          <w:sz w:val="24"/>
          <w:szCs w:val="24"/>
        </w:rPr>
      </w:pPr>
      <w:r>
        <w:rPr>
          <w:rFonts w:hint="eastAsia" w:ascii="宋体" w:hAnsi="宋体" w:eastAsia="宋体" w:cs="宋体"/>
          <w:spacing w:val="-4"/>
          <w:sz w:val="24"/>
          <w:szCs w:val="24"/>
        </w:rPr>
        <w:t>公司 202</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年计提各项资产减值准备</w:t>
      </w:r>
      <w:r>
        <w:rPr>
          <w:rFonts w:hint="eastAsia" w:ascii="宋体" w:hAnsi="宋体" w:eastAsia="宋体" w:cs="宋体"/>
          <w:spacing w:val="-4"/>
          <w:sz w:val="24"/>
          <w:szCs w:val="24"/>
          <w:lang w:eastAsia="zh-CN"/>
        </w:rPr>
        <w:t>23,594.42</w:t>
      </w:r>
      <w:r>
        <w:rPr>
          <w:rFonts w:hint="eastAsia" w:ascii="宋体" w:hAnsi="宋体" w:eastAsia="宋体" w:cs="宋体"/>
          <w:spacing w:val="-4"/>
          <w:sz w:val="24"/>
          <w:szCs w:val="24"/>
        </w:rPr>
        <w:t>万元，</w:t>
      </w:r>
      <w:r>
        <w:rPr>
          <w:rFonts w:hint="eastAsia" w:ascii="宋体" w:hAnsi="宋体" w:eastAsia="宋体" w:cs="宋体"/>
          <w:spacing w:val="-4"/>
          <w:sz w:val="24"/>
          <w:szCs w:val="24"/>
          <w:lang w:val="en-US" w:eastAsia="zh-CN"/>
        </w:rPr>
        <w:t>相应</w:t>
      </w:r>
      <w:r>
        <w:rPr>
          <w:rFonts w:hint="eastAsia" w:ascii="宋体" w:hAnsi="宋体" w:eastAsia="宋体" w:cs="宋体"/>
          <w:spacing w:val="-4"/>
          <w:sz w:val="24"/>
          <w:szCs w:val="24"/>
        </w:rPr>
        <w:t>减少202</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年度</w:t>
      </w:r>
      <w:r>
        <w:rPr>
          <w:rFonts w:hint="eastAsia" w:ascii="宋体" w:hAnsi="宋体" w:eastAsia="宋体" w:cs="宋体"/>
          <w:spacing w:val="-2"/>
          <w:sz w:val="24"/>
          <w:szCs w:val="24"/>
        </w:rPr>
        <w:t>合</w:t>
      </w:r>
      <w:r>
        <w:rPr>
          <w:rFonts w:hint="eastAsia" w:ascii="宋体" w:hAnsi="宋体" w:eastAsia="宋体" w:cs="宋体"/>
          <w:sz w:val="24"/>
          <w:szCs w:val="24"/>
        </w:rPr>
        <w:t>并</w:t>
      </w:r>
      <w:r>
        <w:rPr>
          <w:rFonts w:hint="eastAsia" w:ascii="宋体" w:hAnsi="宋体" w:eastAsia="宋体" w:cs="宋体"/>
          <w:spacing w:val="-12"/>
          <w:sz w:val="24"/>
          <w:szCs w:val="24"/>
        </w:rPr>
        <w:t>净利润</w:t>
      </w:r>
      <w:r>
        <w:rPr>
          <w:rFonts w:hint="eastAsia" w:ascii="宋体" w:hAnsi="宋体" w:eastAsia="宋体" w:cs="宋体"/>
          <w:spacing w:val="-12"/>
          <w:sz w:val="24"/>
          <w:szCs w:val="24"/>
          <w:lang w:eastAsia="zh-CN"/>
        </w:rPr>
        <w:t>18,054.83</w:t>
      </w:r>
      <w:r>
        <w:rPr>
          <w:rFonts w:hint="eastAsia" w:ascii="宋体" w:hAnsi="宋体" w:eastAsia="宋体" w:cs="宋体"/>
          <w:spacing w:val="-6"/>
          <w:sz w:val="24"/>
          <w:szCs w:val="24"/>
        </w:rPr>
        <w:t>万元，减少202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年度归属于母公司所有者的净利润</w:t>
      </w:r>
      <w:r>
        <w:rPr>
          <w:rFonts w:hint="eastAsia" w:ascii="宋体" w:hAnsi="宋体" w:eastAsia="宋体" w:cs="宋体"/>
          <w:spacing w:val="-6"/>
          <w:sz w:val="24"/>
          <w:szCs w:val="24"/>
          <w:lang w:eastAsia="zh-CN"/>
        </w:rPr>
        <w:t>17,205.00</w:t>
      </w:r>
      <w:r>
        <w:rPr>
          <w:rFonts w:hint="eastAsia" w:ascii="宋体" w:hAnsi="宋体" w:eastAsia="宋体" w:cs="宋体"/>
          <w:spacing w:val="-6"/>
          <w:sz w:val="24"/>
          <w:szCs w:val="24"/>
        </w:rPr>
        <w:t>万元，减少</w:t>
      </w:r>
      <w:r>
        <w:rPr>
          <w:rFonts w:hint="eastAsia" w:ascii="宋体" w:hAnsi="宋体" w:eastAsia="宋体" w:cs="宋体"/>
          <w:spacing w:val="-10"/>
          <w:sz w:val="24"/>
          <w:szCs w:val="24"/>
        </w:rPr>
        <w:t>202</w:t>
      </w:r>
      <w:r>
        <w:rPr>
          <w:rFonts w:hint="eastAsia" w:ascii="宋体" w:hAnsi="宋体" w:eastAsia="宋体" w:cs="宋体"/>
          <w:spacing w:val="-10"/>
          <w:sz w:val="24"/>
          <w:szCs w:val="24"/>
          <w:lang w:val="en-US" w:eastAsia="zh-CN"/>
        </w:rPr>
        <w:t>3</w:t>
      </w:r>
      <w:r>
        <w:rPr>
          <w:rFonts w:hint="eastAsia" w:ascii="宋体" w:hAnsi="宋体" w:eastAsia="宋体" w:cs="宋体"/>
          <w:spacing w:val="-5"/>
          <w:sz w:val="24"/>
          <w:szCs w:val="24"/>
        </w:rPr>
        <w:t>年12月31日归属于母公司的所有者权益</w:t>
      </w:r>
      <w:r>
        <w:rPr>
          <w:rFonts w:hint="eastAsia" w:ascii="宋体" w:hAnsi="宋体" w:eastAsia="宋体" w:cs="宋体"/>
          <w:spacing w:val="-6"/>
          <w:sz w:val="24"/>
          <w:szCs w:val="24"/>
          <w:lang w:eastAsia="zh-CN"/>
        </w:rPr>
        <w:t>17,205.00</w:t>
      </w:r>
      <w:r>
        <w:rPr>
          <w:rFonts w:hint="eastAsia" w:ascii="宋体" w:hAnsi="宋体" w:eastAsia="宋体" w:cs="宋体"/>
          <w:spacing w:val="-5"/>
          <w:sz w:val="24"/>
          <w:szCs w:val="24"/>
        </w:rPr>
        <w:t>万元。</w:t>
      </w:r>
    </w:p>
    <w:p>
      <w:pPr>
        <w:numPr>
          <w:ilvl w:val="0"/>
          <w:numId w:val="3"/>
        </w:numPr>
        <w:spacing w:line="420" w:lineRule="exact"/>
        <w:ind w:left="5" w:right="6" w:firstLine="492" w:firstLineChars="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备查文件</w:t>
      </w:r>
    </w:p>
    <w:p>
      <w:pPr>
        <w:numPr>
          <w:ilvl w:val="0"/>
          <w:numId w:val="4"/>
        </w:numPr>
        <w:spacing w:line="420" w:lineRule="exact"/>
        <w:ind w:left="497" w:right="6" w:firstLine="0" w:firstLineChars="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第八届董事会第八次会议决议；</w:t>
      </w:r>
    </w:p>
    <w:p>
      <w:pPr>
        <w:numPr>
          <w:ilvl w:val="0"/>
          <w:numId w:val="4"/>
        </w:numPr>
        <w:spacing w:line="420" w:lineRule="exact"/>
        <w:ind w:left="497" w:right="6" w:firstLine="0" w:firstLineChars="0"/>
        <w:jc w:val="both"/>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第八届监事会第五次会议决议。</w:t>
      </w:r>
    </w:p>
    <w:p>
      <w:pPr>
        <w:spacing w:before="290" w:line="420" w:lineRule="exact"/>
        <w:ind w:left="473"/>
        <w:rPr>
          <w:rFonts w:ascii="宋体" w:hAnsi="宋体" w:eastAsia="宋体" w:cs="宋体"/>
          <w:spacing w:val="-2"/>
          <w:sz w:val="24"/>
          <w:szCs w:val="24"/>
        </w:rPr>
      </w:pPr>
      <w:r>
        <w:rPr>
          <w:rFonts w:hint="eastAsia" w:ascii="宋体" w:hAnsi="宋体" w:eastAsia="宋体" w:cs="宋体"/>
          <w:spacing w:val="-2"/>
          <w:sz w:val="24"/>
          <w:szCs w:val="24"/>
        </w:rPr>
        <w:t>特此公告。</w:t>
      </w:r>
    </w:p>
    <w:p>
      <w:pPr>
        <w:spacing w:line="246" w:lineRule="auto"/>
      </w:pPr>
    </w:p>
    <w:p>
      <w:pPr>
        <w:spacing w:line="246" w:lineRule="auto"/>
      </w:pPr>
    </w:p>
    <w:p>
      <w:pPr>
        <w:autoSpaceDE/>
        <w:autoSpaceDN/>
        <w:spacing w:line="360" w:lineRule="auto"/>
        <w:ind w:firstLine="480" w:firstLineChars="200"/>
        <w:jc w:val="right"/>
        <w:rPr>
          <w:rFonts w:ascii="宋体" w:hAnsi="宋体" w:eastAsia="宋体" w:cs="宋体"/>
          <w:kern w:val="2"/>
          <w:sz w:val="24"/>
          <w:szCs w:val="24"/>
        </w:rPr>
      </w:pPr>
      <w:r>
        <w:rPr>
          <w:rFonts w:hint="eastAsia" w:ascii="宋体" w:hAnsi="宋体" w:eastAsia="宋体" w:cs="宋体"/>
          <w:kern w:val="2"/>
          <w:sz w:val="24"/>
          <w:szCs w:val="24"/>
        </w:rPr>
        <w:t>德华兔宝宝装饰新材股份有限公司</w:t>
      </w:r>
    </w:p>
    <w:p>
      <w:pPr>
        <w:autoSpaceDE/>
        <w:autoSpaceDN/>
        <w:spacing w:line="360" w:lineRule="auto"/>
        <w:ind w:firstLine="480" w:firstLineChars="200"/>
        <w:jc w:val="center"/>
        <w:rPr>
          <w:rFonts w:ascii="宋体" w:hAnsi="宋体" w:eastAsia="宋体" w:cs="宋体"/>
          <w:kern w:val="2"/>
          <w:sz w:val="24"/>
          <w:szCs w:val="24"/>
        </w:rPr>
      </w:pPr>
      <w:r>
        <w:rPr>
          <w:rFonts w:hint="eastAsia" w:ascii="宋体" w:hAnsi="宋体" w:eastAsia="宋体" w:cs="宋体"/>
          <w:kern w:val="2"/>
          <w:sz w:val="24"/>
          <w:szCs w:val="24"/>
        </w:rPr>
        <w:t xml:space="preserve">                                         董  事  会</w:t>
      </w:r>
    </w:p>
    <w:p>
      <w:pPr>
        <w:autoSpaceDE/>
        <w:autoSpaceDN/>
        <w:spacing w:line="360" w:lineRule="auto"/>
        <w:ind w:firstLine="480" w:firstLineChars="200"/>
        <w:jc w:val="center"/>
        <w:rPr>
          <w:rFonts w:ascii="宋体" w:hAnsi="宋体" w:eastAsia="宋体" w:cs="宋体"/>
          <w:sz w:val="24"/>
          <w:szCs w:val="24"/>
        </w:rPr>
      </w:pPr>
      <w:r>
        <w:rPr>
          <w:rFonts w:hint="eastAsia" w:ascii="宋体" w:hAnsi="宋体" w:eastAsia="宋体" w:cs="宋体"/>
          <w:kern w:val="2"/>
          <w:sz w:val="24"/>
          <w:szCs w:val="24"/>
        </w:rPr>
        <w:t xml:space="preserve">                                         202</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25</w:t>
      </w:r>
      <w:r>
        <w:rPr>
          <w:rFonts w:hint="eastAsia" w:ascii="宋体" w:hAnsi="宋体" w:eastAsia="宋体" w:cs="宋体"/>
          <w:kern w:val="2"/>
          <w:sz w:val="24"/>
          <w:szCs w:val="24"/>
        </w:rPr>
        <w:t>日</w:t>
      </w:r>
    </w:p>
    <w:sectPr>
      <w:pgSz w:w="11905" w:h="16839"/>
      <w:pgMar w:top="1418" w:right="1418" w:bottom="136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82411"/>
    <w:multiLevelType w:val="singleLevel"/>
    <w:tmpl w:val="9E282411"/>
    <w:lvl w:ilvl="0" w:tentative="0">
      <w:start w:val="1"/>
      <w:numFmt w:val="decimal"/>
      <w:suff w:val="nothing"/>
      <w:lvlText w:val="%1、"/>
      <w:lvlJc w:val="left"/>
    </w:lvl>
  </w:abstractNum>
  <w:abstractNum w:abstractNumId="1">
    <w:nsid w:val="C98DEF2B"/>
    <w:multiLevelType w:val="singleLevel"/>
    <w:tmpl w:val="C98DEF2B"/>
    <w:lvl w:ilvl="0" w:tentative="0">
      <w:start w:val="4"/>
      <w:numFmt w:val="chineseCounting"/>
      <w:suff w:val="nothing"/>
      <w:lvlText w:val="%1、"/>
      <w:lvlJc w:val="left"/>
      <w:rPr>
        <w:rFonts w:hint="eastAsia"/>
      </w:rPr>
    </w:lvl>
  </w:abstractNum>
  <w:abstractNum w:abstractNumId="2">
    <w:nsid w:val="285B6DC5"/>
    <w:multiLevelType w:val="multilevel"/>
    <w:tmpl w:val="285B6DC5"/>
    <w:lvl w:ilvl="0" w:tentative="0">
      <w:start w:val="1"/>
      <w:numFmt w:val="chineseCountingThousand"/>
      <w:suff w:val="nothing"/>
      <w:lvlText w:val="%1、"/>
      <w:lvlJc w:val="left"/>
      <w:pPr>
        <w:ind w:left="0" w:firstLine="0"/>
      </w:pPr>
      <w:rPr>
        <w:color w:val="000000"/>
      </w:rPr>
    </w:lvl>
    <w:lvl w:ilvl="1" w:tentative="0">
      <w:start w:val="1"/>
      <w:numFmt w:val="chineseCountingThousand"/>
      <w:suff w:val="nothing"/>
      <w:lvlText w:val="(%2)"/>
      <w:lvlJc w:val="left"/>
      <w:pPr>
        <w:ind w:left="0" w:firstLine="425"/>
      </w:pPr>
      <w:rPr>
        <w:color w:val="000000"/>
      </w:rPr>
    </w:lvl>
    <w:lvl w:ilvl="2" w:tentative="0">
      <w:start w:val="1"/>
      <w:numFmt w:val="decimal"/>
      <w:pStyle w:val="2"/>
      <w:suff w:val="nothing"/>
      <w:lvlText w:val="%3."/>
      <w:lvlJc w:val="left"/>
      <w:pPr>
        <w:ind w:left="0" w:firstLine="851"/>
      </w:pPr>
      <w:rPr>
        <w:color w:val="000000"/>
      </w:rPr>
    </w:lvl>
    <w:lvl w:ilvl="3" w:tentative="0">
      <w:start w:val="1"/>
      <w:numFmt w:val="decimal"/>
      <w:pStyle w:val="3"/>
      <w:suff w:val="nothing"/>
      <w:lvlText w:val="(%4)"/>
      <w:lvlJc w:val="left"/>
      <w:pPr>
        <w:ind w:left="0" w:firstLine="1276"/>
      </w:pPr>
      <w:rPr>
        <w:color w:val="000000"/>
      </w:rPr>
    </w:lvl>
    <w:lvl w:ilvl="4" w:tentative="0">
      <w:start w:val="1"/>
      <w:numFmt w:val="decimal"/>
      <w:suff w:val="nothing"/>
      <w:lvlText w:val="%5)"/>
      <w:lvlJc w:val="left"/>
      <w:pPr>
        <w:ind w:left="0" w:firstLine="1701"/>
      </w:pPr>
      <w:rPr>
        <w:color w:val="000000"/>
      </w:rPr>
    </w:lvl>
    <w:lvl w:ilvl="5" w:tentative="0">
      <w:start w:val="1"/>
      <w:numFmt w:val="decimalEnclosedCircle"/>
      <w:suff w:val="nothing"/>
      <w:lvlText w:val="%6"/>
      <w:lvlJc w:val="left"/>
      <w:pPr>
        <w:ind w:left="0" w:firstLine="2126"/>
      </w:pPr>
      <w:rPr>
        <w:color w:val="000000"/>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E2BA452"/>
    <w:multiLevelType w:val="singleLevel"/>
    <w:tmpl w:val="7E2BA452"/>
    <w:lvl w:ilvl="0" w:tentative="0">
      <w:start w:val="4"/>
      <w:numFmt w:val="chineseCounting"/>
      <w:suff w:val="nothing"/>
      <w:lvlText w:val="(%1）"/>
      <w:lvlJc w:val="left"/>
      <w:pPr>
        <w:ind w:left="480" w:leftChars="0" w:firstLine="0" w:firstLineChars="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jBhNGIxZjE5ZGM2MTY0MTM5ZTUwOWZmNzVlY2UifQ=="/>
  </w:docVars>
  <w:rsids>
    <w:rsidRoot w:val="009F47CD"/>
    <w:rsid w:val="00076701"/>
    <w:rsid w:val="001343A0"/>
    <w:rsid w:val="001776AF"/>
    <w:rsid w:val="001A2C4D"/>
    <w:rsid w:val="002C1205"/>
    <w:rsid w:val="00514AAC"/>
    <w:rsid w:val="00965E6E"/>
    <w:rsid w:val="009F47CD"/>
    <w:rsid w:val="00C83310"/>
    <w:rsid w:val="00D43CA7"/>
    <w:rsid w:val="00DD5C69"/>
    <w:rsid w:val="00E12C3D"/>
    <w:rsid w:val="00E2006A"/>
    <w:rsid w:val="00F94F68"/>
    <w:rsid w:val="016E2B45"/>
    <w:rsid w:val="02F052E3"/>
    <w:rsid w:val="05AE0C49"/>
    <w:rsid w:val="08062C92"/>
    <w:rsid w:val="09A454B8"/>
    <w:rsid w:val="0B2760E1"/>
    <w:rsid w:val="0D607E56"/>
    <w:rsid w:val="0F084BBF"/>
    <w:rsid w:val="10D743FE"/>
    <w:rsid w:val="13C95DDF"/>
    <w:rsid w:val="14F23784"/>
    <w:rsid w:val="1E217FFA"/>
    <w:rsid w:val="1E8C6297"/>
    <w:rsid w:val="229E7CD7"/>
    <w:rsid w:val="23623B5A"/>
    <w:rsid w:val="27465428"/>
    <w:rsid w:val="2A1F1EF9"/>
    <w:rsid w:val="2D095281"/>
    <w:rsid w:val="2D312158"/>
    <w:rsid w:val="36E87F61"/>
    <w:rsid w:val="37130691"/>
    <w:rsid w:val="3B9308FD"/>
    <w:rsid w:val="477249FF"/>
    <w:rsid w:val="48F43B85"/>
    <w:rsid w:val="4B047121"/>
    <w:rsid w:val="517B499B"/>
    <w:rsid w:val="548B2661"/>
    <w:rsid w:val="55797D86"/>
    <w:rsid w:val="588504C8"/>
    <w:rsid w:val="59CD5D16"/>
    <w:rsid w:val="5BAF51E2"/>
    <w:rsid w:val="5FBA0994"/>
    <w:rsid w:val="620161E8"/>
    <w:rsid w:val="6250620A"/>
    <w:rsid w:val="640C7CD4"/>
    <w:rsid w:val="654D0495"/>
    <w:rsid w:val="65704965"/>
    <w:rsid w:val="66622060"/>
    <w:rsid w:val="6C1A459F"/>
    <w:rsid w:val="71366528"/>
    <w:rsid w:val="72C836E5"/>
    <w:rsid w:val="7A751746"/>
    <w:rsid w:val="7E8C4B48"/>
    <w:rsid w:val="7EED4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autoRedefine/>
    <w:qFormat/>
    <w:uiPriority w:val="0"/>
    <w:pPr>
      <w:numPr>
        <w:ilvl w:val="2"/>
        <w:numId w:val="1"/>
      </w:numPr>
      <w:spacing w:line="360" w:lineRule="auto"/>
      <w:outlineLvl w:val="2"/>
    </w:pPr>
    <w:rPr>
      <w:rFonts w:ascii="宋体" w:hAnsi="宋体"/>
      <w:bCs/>
      <w:szCs w:val="32"/>
    </w:rPr>
  </w:style>
  <w:style w:type="paragraph" w:styleId="3">
    <w:name w:val="heading 4"/>
    <w:basedOn w:val="1"/>
    <w:next w:val="1"/>
    <w:autoRedefine/>
    <w:unhideWhenUsed/>
    <w:qFormat/>
    <w:uiPriority w:val="0"/>
    <w:pPr>
      <w:numPr>
        <w:ilvl w:val="3"/>
        <w:numId w:val="1"/>
      </w:numPr>
      <w:spacing w:line="360" w:lineRule="auto"/>
      <w:outlineLvl w:val="3"/>
    </w:pPr>
    <w:rPr>
      <w:rFonts w:ascii="宋体" w:hAnsi="宋体" w:cstheme="majorBidi"/>
      <w:bCs/>
      <w:szCs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Plain Text"/>
    <w:basedOn w:val="1"/>
    <w:autoRedefine/>
    <w:qFormat/>
    <w:uiPriority w:val="99"/>
    <w:pPr>
      <w:spacing w:after="120" w:line="300" w:lineRule="auto"/>
    </w:pPr>
    <w:rPr>
      <w:rFonts w:ascii="Courier New" w:hAnsi="Courier New"/>
      <w:szCs w:val="20"/>
    </w:rPr>
  </w:style>
  <w:style w:type="paragraph" w:styleId="6">
    <w:name w:val="Balloon Text"/>
    <w:basedOn w:val="1"/>
    <w:link w:val="10"/>
    <w:autoRedefine/>
    <w:qFormat/>
    <w:uiPriority w:val="0"/>
    <w:rPr>
      <w:sz w:val="18"/>
      <w:szCs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批注框文本 Char"/>
    <w:basedOn w:val="8"/>
    <w:link w:val="6"/>
    <w:autoRedefine/>
    <w:qFormat/>
    <w:uiPriority w:val="0"/>
    <w:rPr>
      <w:rFonts w:eastAsia="Arial"/>
      <w:snapToGrid w:val="0"/>
      <w:color w:val="000000"/>
      <w:sz w:val="18"/>
      <w:szCs w:val="18"/>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3821</Words>
  <Characters>4056</Characters>
  <Lines>30</Lines>
  <Paragraphs>8</Paragraphs>
  <TotalTime>9</TotalTime>
  <ScaleCrop>false</ScaleCrop>
  <LinksUpToDate>false</LinksUpToDate>
  <CharactersWithSpaces>4192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2023-03-01T11:18:00Z</dcterms:created>
  <dc:creator>Wangsh</dc:creator>
  <cp:keywords>中际旭创</cp:keywords>
  <cp:lastModifiedBy>沈煜</cp:lastModifiedBy>
  <dcterms:modified xsi:type="dcterms:W3CDTF">2024-04-23T12:38:50Z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2023-03-01T13:20:26Z</vt:filetime>
  </property>
  <property fmtid="{D5CDD505-2E9C-101B-9397-08002B2CF9AE}" pid="4" name="KSOProductBuildVer">
    <vt:lpwstr>2052-12.1.0.16729</vt:lpwstr>
  </property>
  <property fmtid="{D5CDD505-2E9C-101B-9397-08002B2CF9AE}" pid="5" name="ICV">
    <vt:lpwstr>CD911B9C3A8C4661A3F744D184A734FE_13</vt:lpwstr>
  </property>
</Properties>
</file>