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0" w:lineRule="exact"/>
        <w:ind w:firstLine="199" w:firstLineChars="83"/>
        <w:jc w:val="left"/>
        <w:rPr>
          <w:rStyle w:val="7"/>
          <w:rFonts w:ascii="宋体" w:hAnsi="宋体"/>
          <w:color w:val="000000"/>
          <w:sz w:val="24"/>
        </w:rPr>
      </w:pPr>
      <w:r>
        <w:rPr>
          <w:rFonts w:hint="eastAsia" w:ascii="宋体" w:hAnsi="宋体" w:eastAsia="宋体" w:cs="宋体"/>
          <w:sz w:val="24"/>
          <w:szCs w:val="24"/>
        </w:rPr>
        <w:t>股票代码：002043            股票简称：兔宝宝             公告编号：</w:t>
      </w:r>
      <w:r>
        <w:rPr>
          <w:rStyle w:val="7"/>
          <w:rFonts w:hint="eastAsia" w:ascii="宋体" w:hAnsi="宋体" w:eastAsia="宋体"/>
          <w:color w:val="000000"/>
          <w:sz w:val="24"/>
        </w:rPr>
        <w:t>2020</w:t>
      </w:r>
      <w:r>
        <w:rPr>
          <w:rStyle w:val="7"/>
          <w:rFonts w:hint="eastAsia" w:ascii="宋体" w:hAnsi="宋体"/>
          <w:color w:val="000000"/>
          <w:sz w:val="24"/>
        </w:rPr>
        <w:t>-002</w:t>
      </w:r>
    </w:p>
    <w:p>
      <w:pPr>
        <w:spacing w:line="300" w:lineRule="exact"/>
        <w:ind w:firstLine="422"/>
        <w:jc w:val="center"/>
        <w:rPr>
          <w:rFonts w:ascii="Arial" w:hAnsi="Arial" w:cs="Arial"/>
          <w:b/>
          <w:szCs w:val="21"/>
        </w:rPr>
      </w:pPr>
    </w:p>
    <w:p>
      <w:pPr>
        <w:spacing w:line="420" w:lineRule="exact"/>
        <w:ind w:firstLine="600"/>
        <w:jc w:val="center"/>
        <w:rPr>
          <w:rFonts w:ascii="黑体" w:hAnsi="黑体" w:eastAsia="黑体" w:cs="Arial"/>
          <w:sz w:val="30"/>
          <w:szCs w:val="30"/>
        </w:rPr>
      </w:pPr>
      <w:r>
        <w:rPr>
          <w:rFonts w:hint="eastAsia" w:ascii="黑体" w:hAnsi="黑体" w:eastAsia="黑体" w:cs="Arial"/>
          <w:sz w:val="30"/>
          <w:szCs w:val="30"/>
        </w:rPr>
        <w:t>德华兔宝宝装饰新材股份有限公司</w:t>
      </w:r>
    </w:p>
    <w:p>
      <w:pPr>
        <w:spacing w:line="420" w:lineRule="exact"/>
        <w:ind w:firstLine="600"/>
        <w:jc w:val="center"/>
        <w:rPr>
          <w:rFonts w:ascii="黑体" w:hAnsi="黑体" w:eastAsia="黑体" w:cs="Arial"/>
          <w:sz w:val="30"/>
          <w:szCs w:val="30"/>
        </w:rPr>
      </w:pPr>
      <w:r>
        <w:rPr>
          <w:rFonts w:hint="eastAsia" w:ascii="黑体" w:hAnsi="黑体" w:eastAsia="黑体" w:cs="Arial"/>
          <w:sz w:val="30"/>
          <w:szCs w:val="30"/>
        </w:rPr>
        <w:t>关于回购公司股份方案的公告</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exact"/>
        <w:ind w:firstLine="411" w:firstLineChars="196"/>
        <w:jc w:val="left"/>
        <w:rPr>
          <w:rFonts w:ascii="宋体" w:hAnsi="宋体" w:eastAsia="宋体"/>
          <w:bCs/>
          <w:szCs w:val="21"/>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firstLine="470" w:firstLineChars="196"/>
        <w:jc w:val="left"/>
        <w:rPr>
          <w:rFonts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spacing w:beforeLines="50" w:line="400" w:lineRule="exact"/>
        <w:ind w:firstLine="482"/>
        <w:rPr>
          <w:rFonts w:ascii="宋体" w:hAnsi="宋体"/>
          <w:b/>
          <w:sz w:val="24"/>
        </w:rPr>
      </w:pPr>
      <w:r>
        <w:rPr>
          <w:rFonts w:hint="eastAsia" w:ascii="宋体" w:hAnsi="宋体"/>
          <w:b/>
          <w:sz w:val="24"/>
        </w:rPr>
        <w:t>重要提示：</w:t>
      </w:r>
    </w:p>
    <w:p>
      <w:pPr>
        <w:numPr>
          <w:ilvl w:val="0"/>
          <w:numId w:val="1"/>
        </w:numPr>
        <w:spacing w:line="400" w:lineRule="exact"/>
        <w:ind w:firstLine="480"/>
        <w:rPr>
          <w:rFonts w:ascii="宋体" w:hAnsi="宋体"/>
          <w:bCs/>
          <w:sz w:val="24"/>
        </w:rPr>
      </w:pPr>
      <w:r>
        <w:rPr>
          <w:rFonts w:hint="eastAsia" w:ascii="宋体" w:hAnsi="宋体"/>
          <w:bCs/>
          <w:sz w:val="24"/>
        </w:rPr>
        <w:t>公司使用自有资金以集中竞价交易方式回购公司股份，回购资金总额不低于人民币1亿元（含）且不超过人民币2亿元（含），回购价格不超过人民币8.50元/股（含），若按回购总金额上限2亿元人民币，回购价格上限人民币8.50元/股进行测算，预计可回购股份数量约为2,353万股，占公司目前总股本比例为3.04%，具体回购股份的数量、金额以回购期满时实际回购的股份数量、金额为准。回购实施期限自公司第六届董事会第二十七次会议审议通过本次回购股份方案之日起12个月内。</w:t>
      </w:r>
    </w:p>
    <w:p>
      <w:pPr>
        <w:numPr>
          <w:ilvl w:val="0"/>
          <w:numId w:val="1"/>
        </w:numPr>
        <w:spacing w:line="400" w:lineRule="exact"/>
        <w:ind w:firstLine="480"/>
        <w:rPr>
          <w:rFonts w:ascii="宋体" w:hAnsi="宋体"/>
          <w:bCs/>
          <w:sz w:val="24"/>
        </w:rPr>
      </w:pPr>
      <w:r>
        <w:rPr>
          <w:rFonts w:hint="eastAsia" w:ascii="宋体" w:hAnsi="宋体"/>
          <w:bCs/>
          <w:sz w:val="24"/>
        </w:rPr>
        <w:t>本次回购股份用于对公司核心骨干员工实施股权激励或员工持股计划。</w:t>
      </w:r>
    </w:p>
    <w:p>
      <w:pPr>
        <w:numPr>
          <w:ilvl w:val="0"/>
          <w:numId w:val="1"/>
        </w:numPr>
        <w:spacing w:line="400" w:lineRule="exact"/>
        <w:ind w:firstLine="480"/>
        <w:rPr>
          <w:rFonts w:ascii="宋体" w:hAnsi="宋体"/>
          <w:bCs/>
          <w:sz w:val="24"/>
        </w:rPr>
      </w:pPr>
      <w:r>
        <w:rPr>
          <w:rFonts w:hint="eastAsia" w:ascii="宋体" w:hAnsi="宋体"/>
          <w:bCs/>
          <w:sz w:val="24"/>
        </w:rPr>
        <w:t>风险提示：</w:t>
      </w:r>
    </w:p>
    <w:p>
      <w:pPr>
        <w:numPr>
          <w:ilvl w:val="0"/>
          <w:numId w:val="2"/>
        </w:numPr>
        <w:spacing w:line="400" w:lineRule="exact"/>
        <w:ind w:firstLine="480"/>
        <w:rPr>
          <w:rFonts w:ascii="宋体" w:hAnsi="宋体"/>
          <w:bCs/>
          <w:sz w:val="24"/>
        </w:rPr>
      </w:pPr>
      <w:r>
        <w:rPr>
          <w:rFonts w:hint="eastAsia" w:ascii="宋体" w:hAnsi="宋体"/>
          <w:bCs/>
          <w:sz w:val="24"/>
        </w:rPr>
        <w:t>本次回购股份存在回购期限内股票价格持续超出回购价格上限，而导致本次回购计划无法顺利实施的风险。</w:t>
      </w:r>
    </w:p>
    <w:p>
      <w:pPr>
        <w:numPr>
          <w:ilvl w:val="0"/>
          <w:numId w:val="2"/>
        </w:numPr>
        <w:spacing w:line="400" w:lineRule="exact"/>
        <w:ind w:firstLine="480"/>
        <w:rPr>
          <w:rFonts w:ascii="宋体" w:hAnsi="宋体"/>
          <w:bCs/>
          <w:sz w:val="24"/>
        </w:rPr>
      </w:pPr>
      <w:r>
        <w:rPr>
          <w:rFonts w:hint="eastAsia" w:ascii="宋体" w:hAnsi="宋体"/>
          <w:bCs/>
          <w:sz w:val="24"/>
        </w:rPr>
        <w:t>本次回购股份用于对核心骨干员工实施股权激励或员工持股计划，可能因股权激励或员工持股计划未能经公司董事会和股东大会等决策机构审议通过、激励对象放弃认购等原因，导致已回购股票无法全部授出的风险。</w:t>
      </w:r>
    </w:p>
    <w:p>
      <w:pPr>
        <w:numPr>
          <w:ilvl w:val="0"/>
          <w:numId w:val="2"/>
        </w:numPr>
        <w:spacing w:line="400" w:lineRule="exact"/>
        <w:ind w:firstLine="480"/>
        <w:rPr>
          <w:rFonts w:ascii="宋体" w:hAnsi="宋体"/>
          <w:bCs/>
          <w:sz w:val="24"/>
        </w:rPr>
      </w:pPr>
      <w:r>
        <w:rPr>
          <w:rFonts w:hint="eastAsia" w:ascii="宋体" w:hAnsi="宋体"/>
          <w:bCs/>
          <w:sz w:val="24"/>
        </w:rPr>
        <w:t>公司将在回购期限内根据市场情况择机实施股份回购并根据进展情况及时履行信息披露义务。敬请投资者注意投资风险。</w:t>
      </w:r>
    </w:p>
    <w:p>
      <w:pPr>
        <w:spacing w:beforeLines="100" w:line="400" w:lineRule="exact"/>
        <w:ind w:firstLine="480"/>
        <w:rPr>
          <w:rFonts w:ascii="宋体" w:hAnsi="宋体"/>
          <w:bCs/>
          <w:sz w:val="24"/>
        </w:rPr>
      </w:pPr>
      <w:r>
        <w:rPr>
          <w:rFonts w:hint="eastAsia" w:ascii="宋体" w:hAnsi="宋体"/>
          <w:bCs/>
          <w:sz w:val="24"/>
        </w:rPr>
        <w:t>为促进公司健康稳定长远发展，维护广大股东利益，增强投资者信心，依据《公司法》、《证券法》、《深圳证券交易所上市公司回购股份实施细则》（以下简称“《实施细则”）以及《公司章程》等相关规定，综合考虑公司的股价走势及财务状况，公司拟回购部分社会公众股份，有关回购事项的具体内容如下：</w:t>
      </w:r>
    </w:p>
    <w:p>
      <w:pPr>
        <w:spacing w:beforeLines="50" w:line="400" w:lineRule="exact"/>
        <w:ind w:firstLine="482"/>
        <w:rPr>
          <w:rFonts w:ascii="宋体" w:hAnsi="宋体"/>
          <w:b/>
          <w:sz w:val="24"/>
        </w:rPr>
      </w:pPr>
      <w:r>
        <w:rPr>
          <w:rFonts w:hint="eastAsia" w:ascii="宋体" w:hAnsi="宋体"/>
          <w:b/>
          <w:sz w:val="24"/>
        </w:rPr>
        <w:t>一、回购方案的主要内容</w:t>
      </w:r>
    </w:p>
    <w:p>
      <w:pPr>
        <w:spacing w:line="400" w:lineRule="exact"/>
        <w:ind w:firstLine="482"/>
        <w:rPr>
          <w:rFonts w:ascii="宋体" w:hAnsi="宋体"/>
          <w:b/>
          <w:sz w:val="24"/>
        </w:rPr>
      </w:pPr>
      <w:r>
        <w:rPr>
          <w:rFonts w:hint="eastAsia" w:ascii="宋体" w:hAnsi="宋体"/>
          <w:b/>
          <w:sz w:val="24"/>
        </w:rPr>
        <w:t>（一）回购股份的目的及用途</w:t>
      </w:r>
    </w:p>
    <w:p>
      <w:pPr>
        <w:spacing w:line="400" w:lineRule="exact"/>
        <w:ind w:firstLine="480"/>
        <w:rPr>
          <w:rFonts w:ascii="宋体" w:hAnsi="宋体" w:cs="宋体"/>
          <w:sz w:val="24"/>
        </w:rPr>
      </w:pPr>
      <w:r>
        <w:rPr>
          <w:rFonts w:hint="eastAsia" w:ascii="宋体" w:hAnsi="宋体" w:cs="宋体"/>
          <w:sz w:val="24"/>
        </w:rPr>
        <w:t>基于对公司未来发展的信心以及对公司价值的高度认可，同时完善公司长效激励机制，充分调动公司核心骨干员工的积极性，提高团队凝聚力和公司竞争力，有效推动公司的长远健康发展，公司拟使用自有资金以集中竞价方式回购公司股份。</w:t>
      </w:r>
    </w:p>
    <w:p>
      <w:pPr>
        <w:spacing w:line="400" w:lineRule="exact"/>
        <w:ind w:firstLine="480"/>
        <w:rPr>
          <w:rFonts w:ascii="宋体" w:hAnsi="宋体"/>
          <w:bCs/>
          <w:sz w:val="24"/>
        </w:rPr>
      </w:pPr>
      <w:r>
        <w:rPr>
          <w:rFonts w:hint="eastAsia" w:ascii="宋体" w:hAnsi="宋体" w:cs="宋体"/>
          <w:sz w:val="24"/>
        </w:rPr>
        <w:t>回购的公司股份全部用于对核心骨干员工实施股权激励或员工持股计划。公司如在股份回购完成之后36个月内未能实施上述用途，或所回购的股份未全部用于上述用途，未使用的部分将依法予以注销。公司本次回购股份符合《深圳证券交易所上市公司回购股份实施细则》第十条的相关规定。</w:t>
      </w:r>
    </w:p>
    <w:p>
      <w:pPr>
        <w:spacing w:beforeLines="30" w:line="400" w:lineRule="exact"/>
        <w:ind w:firstLine="482"/>
        <w:rPr>
          <w:rFonts w:ascii="宋体" w:hAnsi="宋体"/>
          <w:b/>
          <w:sz w:val="24"/>
        </w:rPr>
      </w:pPr>
      <w:r>
        <w:rPr>
          <w:rFonts w:hint="eastAsia" w:ascii="宋体" w:hAnsi="宋体"/>
          <w:b/>
          <w:sz w:val="24"/>
        </w:rPr>
        <w:t>（二）拟回购股份的方式、价格区间</w:t>
      </w:r>
    </w:p>
    <w:p>
      <w:pPr>
        <w:spacing w:line="400" w:lineRule="exact"/>
        <w:ind w:firstLine="480"/>
        <w:rPr>
          <w:rFonts w:ascii="宋体" w:hAnsi="宋体" w:eastAsia="宋体" w:cs="宋体"/>
          <w:bCs/>
          <w:sz w:val="24"/>
        </w:rPr>
      </w:pPr>
      <w:r>
        <w:rPr>
          <w:rFonts w:hint="eastAsia" w:ascii="宋体" w:hAnsi="宋体" w:eastAsia="宋体" w:cs="宋体"/>
          <w:bCs/>
          <w:sz w:val="24"/>
        </w:rPr>
        <w:t>公司通过深圳证券交易所交易系统以集中竞价交易方式进行回购公司部分已发行的社会公众股份。</w:t>
      </w:r>
    </w:p>
    <w:p>
      <w:pPr>
        <w:spacing w:line="400" w:lineRule="exact"/>
        <w:ind w:firstLine="480"/>
        <w:rPr>
          <w:rFonts w:ascii="宋体" w:hAnsi="宋体" w:eastAsia="宋体" w:cs="宋体"/>
          <w:bCs/>
          <w:sz w:val="24"/>
        </w:rPr>
      </w:pPr>
      <w:r>
        <w:rPr>
          <w:rFonts w:hint="eastAsia" w:ascii="宋体" w:hAnsi="宋体" w:eastAsia="宋体" w:cs="宋体"/>
          <w:bCs/>
          <w:sz w:val="24"/>
        </w:rPr>
        <w:t>为保护投资者利益，结合近期公司股价，本次回购股份价格不超过人民币8.50元/股（含），未超过公司董事会通过回购股份决议前三十个交易日公司股票交易均价150%。具体回购价格由董事会授权公司管理层在回购实施期间结合公司股票价格、财务状况和经营状况确定。</w:t>
      </w:r>
    </w:p>
    <w:p>
      <w:pPr>
        <w:spacing w:line="400" w:lineRule="exact"/>
        <w:ind w:firstLine="480"/>
        <w:rPr>
          <w:rFonts w:ascii="宋体" w:hAnsi="宋体"/>
          <w:bCs/>
          <w:sz w:val="24"/>
        </w:rPr>
      </w:pPr>
      <w:r>
        <w:rPr>
          <w:rFonts w:hint="eastAsia" w:ascii="宋体" w:hAnsi="宋体" w:eastAsia="宋体" w:cs="宋体"/>
          <w:bCs/>
          <w:sz w:val="24"/>
        </w:rPr>
        <w:t>若公司在回购期内发生资本公积转增股本、派发股票或现金红利、股票拆细、缩股、配股或发行股本权证等事宜，自股价除权除息之日起，相应调整回购价格上限。</w:t>
      </w:r>
    </w:p>
    <w:p>
      <w:pPr>
        <w:spacing w:beforeLines="30" w:line="400" w:lineRule="exact"/>
        <w:ind w:firstLine="482"/>
        <w:rPr>
          <w:rFonts w:ascii="宋体" w:hAnsi="宋体"/>
          <w:b/>
          <w:sz w:val="24"/>
        </w:rPr>
      </w:pPr>
      <w:r>
        <w:rPr>
          <w:rFonts w:hint="eastAsia" w:ascii="宋体" w:hAnsi="宋体"/>
          <w:b/>
          <w:sz w:val="24"/>
        </w:rPr>
        <w:t>（三）拟回购股份的种类、数量、占公司总股本的比例</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1、回购股份的种类：本公司已发行的 A 股股份。</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2、回购的资金数量和占公司总股本比例：公司用于回购的资金总额不低于人民币1亿元（含）且不超过人民币2亿元（含），预计回购股份</w:t>
      </w:r>
      <w:bookmarkStart w:id="0" w:name="_GoBack"/>
      <w:bookmarkEnd w:id="0"/>
      <w:r>
        <w:rPr>
          <w:rFonts w:hint="eastAsia" w:ascii="宋体" w:hAnsi="宋体" w:eastAsia="宋体" w:cs="宋体"/>
          <w:sz w:val="24"/>
          <w:szCs w:val="24"/>
        </w:rPr>
        <w:t>约为</w:t>
      </w:r>
      <w:r>
        <w:rPr>
          <w:rFonts w:hint="eastAsia" w:ascii="宋体" w:hAnsi="宋体"/>
          <w:bCs/>
          <w:sz w:val="24"/>
        </w:rPr>
        <w:t>2,353</w:t>
      </w:r>
      <w:r>
        <w:rPr>
          <w:rFonts w:hint="eastAsia" w:ascii="宋体" w:hAnsi="宋体" w:eastAsia="宋体" w:cs="宋体"/>
          <w:sz w:val="24"/>
          <w:szCs w:val="24"/>
        </w:rPr>
        <w:t>万股</w:t>
      </w:r>
      <w:r>
        <w:rPr>
          <w:rFonts w:hint="eastAsia" w:ascii="宋体" w:hAnsi="宋体" w:cs="宋体"/>
          <w:sz w:val="24"/>
          <w:highlight w:val="none"/>
        </w:rPr>
        <w:t>（按回购最高价格8.50元/股为参考）</w:t>
      </w:r>
      <w:r>
        <w:rPr>
          <w:rFonts w:hint="eastAsia" w:ascii="宋体" w:hAnsi="宋体" w:eastAsia="宋体" w:cs="宋体"/>
          <w:sz w:val="24"/>
          <w:szCs w:val="24"/>
        </w:rPr>
        <w:t>,占公司总股本的3.04%。具体回购股份的数量以回购期满时实际回购的股份数量为准。</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如公司在回购期内实施资本公积转增股本、派发股票、缩股、配股、现金分红等除权除息事宜，自股价除权除息之日起，按照中国证监会及深圳证券交易所的相关规定相应调整回购股份数量。</w:t>
      </w:r>
      <w:r>
        <w:rPr>
          <w:rFonts w:ascii="宋体" w:hAnsi="宋体" w:eastAsia="宋体" w:cs="宋体"/>
          <w:sz w:val="24"/>
          <w:szCs w:val="24"/>
        </w:rPr>
        <w:t xml:space="preserve"> </w:t>
      </w:r>
    </w:p>
    <w:p>
      <w:pPr>
        <w:spacing w:beforeLines="30" w:line="400" w:lineRule="exact"/>
        <w:ind w:firstLine="482"/>
        <w:rPr>
          <w:rFonts w:ascii="宋体" w:hAnsi="宋体" w:eastAsia="宋体" w:cs="宋体"/>
          <w:sz w:val="24"/>
          <w:szCs w:val="24"/>
        </w:rPr>
      </w:pPr>
      <w:r>
        <w:rPr>
          <w:rFonts w:hint="eastAsia" w:ascii="宋体" w:hAnsi="宋体"/>
          <w:b/>
          <w:sz w:val="24"/>
        </w:rPr>
        <w:t>（四）回购股份</w:t>
      </w:r>
      <w:r>
        <w:rPr>
          <w:rFonts w:hint="eastAsia" w:ascii="宋体" w:hAnsi="宋体" w:cs="宋体"/>
          <w:b/>
          <w:bCs/>
          <w:sz w:val="24"/>
        </w:rPr>
        <w:t>资金总额以及资金来源</w:t>
      </w:r>
      <w:r>
        <w:rPr>
          <w:rFonts w:ascii="宋体" w:hAnsi="宋体" w:eastAsia="宋体" w:cs="宋体"/>
          <w:sz w:val="24"/>
          <w:szCs w:val="24"/>
        </w:rPr>
        <w:t xml:space="preserve"> </w:t>
      </w:r>
    </w:p>
    <w:p>
      <w:pPr>
        <w:spacing w:line="400" w:lineRule="exact"/>
        <w:ind w:firstLine="480"/>
        <w:rPr>
          <w:rFonts w:ascii="宋体" w:hAnsi="宋体"/>
          <w:bCs/>
          <w:sz w:val="24"/>
        </w:rPr>
      </w:pPr>
      <w:r>
        <w:rPr>
          <w:rFonts w:hint="eastAsia" w:ascii="宋体" w:hAnsi="宋体"/>
          <w:bCs/>
          <w:sz w:val="24"/>
        </w:rPr>
        <w:t>公司用于本次回购的资金总额不低于人民币1亿元（含）且不超过人民币2亿元（含），资金来源全部为公司</w:t>
      </w:r>
      <w:r>
        <w:rPr>
          <w:rFonts w:ascii="宋体" w:hAnsi="宋体" w:eastAsia="宋体" w:cs="宋体"/>
          <w:sz w:val="24"/>
          <w:szCs w:val="24"/>
        </w:rPr>
        <w:t>自有资金或自筹资金</w:t>
      </w:r>
      <w:r>
        <w:rPr>
          <w:rFonts w:hint="eastAsia" w:ascii="宋体" w:hAnsi="宋体"/>
          <w:bCs/>
          <w:sz w:val="24"/>
        </w:rPr>
        <w:t>。</w:t>
      </w:r>
    </w:p>
    <w:p>
      <w:pPr>
        <w:spacing w:beforeLines="30" w:line="400" w:lineRule="exact"/>
        <w:ind w:firstLine="482"/>
        <w:rPr>
          <w:rFonts w:ascii="宋体" w:hAnsi="宋体"/>
          <w:b/>
          <w:sz w:val="24"/>
        </w:rPr>
      </w:pPr>
      <w:r>
        <w:rPr>
          <w:rFonts w:hint="eastAsia" w:ascii="宋体" w:hAnsi="宋体"/>
          <w:b/>
          <w:sz w:val="24"/>
        </w:rPr>
        <w:t>（五）回购股份的实施期限</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回购股份实施期限为自公司第六届董事会第二十七次会议审议通过本次回购股份方案之日起12个月内。回购方案实施期间，公司股票因筹划重大事项连续停牌十个交易日以上的，回购期限可予以顺延，但顺延后期限仍不得超过12个月，若出现该情形，公司将及时披露是否顺延实施。</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1、 如果触及以下条件，则回购期限提前届满</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（1）如果在回购期限内回购资金使用金额达到最高限额，则回购方案即实施完毕，回购期限自该日起提前届满。</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（2）如公司董事会决定终止本回购方案，则回购期限自董事会决议终止本回购方案之日起提前届满。</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2、公司不得在下列期间内回购公司股票</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（1）上市公司定期报告、业绩预告或者业绩快报公告前十个交易日内；</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（2）自可能对本公司股票交易价格产生重大影响的重大事项发生之日或者在决策过程中，至依法披露后两个交易日内；</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（3）中国证监会规定的其他情形。</w:t>
      </w:r>
    </w:p>
    <w:p>
      <w:pPr>
        <w:spacing w:beforeLines="30" w:line="400" w:lineRule="exact"/>
        <w:ind w:firstLine="480"/>
        <w:rPr>
          <w:rFonts w:ascii="宋体" w:hAnsi="宋体"/>
          <w:b/>
          <w:sz w:val="24"/>
        </w:rPr>
      </w:pPr>
      <w:r>
        <w:rPr>
          <w:rFonts w:ascii="宋体" w:hAnsi="宋体" w:eastAsia="宋体" w:cs="宋体"/>
          <w:sz w:val="24"/>
          <w:szCs w:val="24"/>
        </w:rPr>
        <w:t xml:space="preserve"> </w:t>
      </w:r>
      <w:r>
        <w:rPr>
          <w:rFonts w:hint="eastAsia" w:ascii="宋体" w:hAnsi="宋体"/>
          <w:b/>
          <w:sz w:val="24"/>
        </w:rPr>
        <w:t>（六）办理本次回购股份的具体授权事项</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根据《公司法》和《公司章程》的相关规定，经公司董事会审议，为保证本次股份回购的顺利实施，公司董事会授权公司管理层，在法律法规规定范围内，按照最大限度维护公司及股东利益的原则，全权办理本次回购股份相关事宜，授权内容及范围包括但不限于：</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1、授权公司管理层设立回购专用证券账户及办理其他相关事务；</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2、根据有关规定择机回购公司股份，包括回购股份的具体时间、价格、数量、方式等；</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3、依据有关法律法规及监管部门的规定调整具体实施方案（涉及有关法律、法规及《公司章程》规定须由董事会重新表决的事项除外），办理与股份回购有关的其他事宜；</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4、制作、修改、补充、签署、递交、呈报、执行本次回购部分社会公众股份过程中发生的一切协议、合同和文件，并进行相关申报；</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5、决定聘请相关中介机构；</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6、其他以上虽未列明但为本次股份回购及处置回购股份所必须的事项。</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本授权自董事会审议通过之日起至上述授权事项办理完毕之日止。</w:t>
      </w:r>
    </w:p>
    <w:p>
      <w:pPr>
        <w:spacing w:beforeLines="30" w:line="400" w:lineRule="exact"/>
        <w:ind w:firstLine="482"/>
        <w:rPr>
          <w:rFonts w:ascii="宋体" w:hAnsi="宋体"/>
          <w:b/>
          <w:sz w:val="24"/>
        </w:rPr>
      </w:pPr>
      <w:r>
        <w:rPr>
          <w:rFonts w:hint="eastAsia" w:ascii="宋体" w:hAnsi="宋体"/>
          <w:b/>
          <w:sz w:val="24"/>
        </w:rPr>
        <w:t>（七）预计回购后公司股权结构的变动情况</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1、若按本次回购金额上限人民币1亿元，回购股份价格不超过人民币8.50元/股测算，预计回购数量约为1,176万股，占目前公司总股本的1.52%。按照截至2019年9月30日公司股本结构测算，若回购股份全部用于股权激励或员工持股计划并全部锁定，预计回购后公司股权结构变化情况如下：</w:t>
      </w:r>
    </w:p>
    <w:p>
      <w:pPr>
        <w:spacing w:line="400" w:lineRule="exact"/>
        <w:ind w:firstLine="480"/>
        <w:jc w:val="right"/>
        <w:rPr>
          <w:rFonts w:ascii="宋体" w:hAnsi="宋体" w:eastAsia="宋体" w:cs="宋体"/>
          <w:sz w:val="24"/>
          <w:szCs w:val="24"/>
        </w:rPr>
      </w:pPr>
      <w:r>
        <w:rPr>
          <w:rFonts w:hint="eastAsia" w:ascii="宋体" w:hAnsi="宋体" w:eastAsia="宋体" w:cs="宋体"/>
          <w:sz w:val="24"/>
          <w:szCs w:val="24"/>
        </w:rPr>
        <w:t>单位：股</w:t>
      </w:r>
    </w:p>
    <w:tbl>
      <w:tblPr>
        <w:tblStyle w:val="5"/>
        <w:tblW w:w="9208"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1"/>
        <w:gridCol w:w="1701"/>
        <w:gridCol w:w="1134"/>
        <w:gridCol w:w="1559"/>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1" w:type="dxa"/>
            <w:vMerge w:val="restart"/>
            <w:vAlign w:val="center"/>
          </w:tcPr>
          <w:p>
            <w:pPr>
              <w:spacing w:line="400" w:lineRule="exact"/>
              <w:ind w:firstLineChars="0"/>
              <w:jc w:val="center"/>
              <w:rPr>
                <w:rFonts w:ascii="宋体" w:hAnsi="宋体" w:eastAsia="宋体" w:cs="宋体"/>
                <w:sz w:val="24"/>
                <w:szCs w:val="24"/>
              </w:rPr>
            </w:pPr>
          </w:p>
        </w:tc>
        <w:tc>
          <w:tcPr>
            <w:tcW w:w="2835" w:type="dxa"/>
            <w:gridSpan w:val="2"/>
            <w:vAlign w:val="center"/>
          </w:tcPr>
          <w:p>
            <w:pPr>
              <w:spacing w:line="400" w:lineRule="exact"/>
              <w:ind w:firstLineChars="0"/>
              <w:jc w:val="center"/>
              <w:rPr>
                <w:rFonts w:ascii="宋体" w:hAnsi="宋体" w:eastAsia="宋体" w:cs="宋体"/>
                <w:sz w:val="24"/>
                <w:szCs w:val="24"/>
              </w:rPr>
            </w:pPr>
            <w:r>
              <w:rPr>
                <w:rFonts w:hint="eastAsia" w:ascii="宋体" w:hAnsi="宋体" w:eastAsia="宋体" w:cs="宋体"/>
                <w:sz w:val="24"/>
                <w:szCs w:val="24"/>
              </w:rPr>
              <w:t>本次变动前</w:t>
            </w:r>
          </w:p>
        </w:tc>
        <w:tc>
          <w:tcPr>
            <w:tcW w:w="2812" w:type="dxa"/>
            <w:gridSpan w:val="2"/>
            <w:vAlign w:val="center"/>
          </w:tcPr>
          <w:p>
            <w:pPr>
              <w:spacing w:line="400" w:lineRule="exact"/>
              <w:ind w:firstLineChars="0"/>
              <w:jc w:val="center"/>
              <w:rPr>
                <w:rFonts w:ascii="宋体" w:hAnsi="宋体" w:eastAsia="宋体" w:cs="宋体"/>
                <w:sz w:val="24"/>
                <w:szCs w:val="24"/>
              </w:rPr>
            </w:pPr>
            <w:r>
              <w:rPr>
                <w:rFonts w:hint="eastAsia" w:ascii="宋体" w:hAnsi="宋体" w:eastAsia="宋体" w:cs="宋体"/>
                <w:sz w:val="24"/>
                <w:szCs w:val="24"/>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1" w:type="dxa"/>
            <w:vMerge w:val="continue"/>
            <w:vAlign w:val="center"/>
          </w:tcPr>
          <w:p>
            <w:pPr>
              <w:spacing w:line="400" w:lineRule="exact"/>
              <w:ind w:firstLineChars="0"/>
              <w:jc w:val="center"/>
              <w:rPr>
                <w:rFonts w:ascii="宋体" w:hAnsi="宋体" w:eastAsia="宋体" w:cs="宋体"/>
                <w:sz w:val="24"/>
                <w:szCs w:val="24"/>
              </w:rPr>
            </w:pPr>
          </w:p>
        </w:tc>
        <w:tc>
          <w:tcPr>
            <w:tcW w:w="1701" w:type="dxa"/>
            <w:vAlign w:val="center"/>
          </w:tcPr>
          <w:p>
            <w:pPr>
              <w:spacing w:line="400" w:lineRule="exact"/>
              <w:ind w:firstLineChars="0"/>
              <w:jc w:val="center"/>
              <w:rPr>
                <w:rFonts w:ascii="宋体" w:hAnsi="宋体" w:eastAsia="宋体" w:cs="宋体"/>
                <w:sz w:val="24"/>
                <w:szCs w:val="24"/>
              </w:rPr>
            </w:pPr>
            <w:r>
              <w:rPr>
                <w:rFonts w:hint="eastAsia" w:ascii="宋体" w:hAnsi="宋体" w:eastAsia="宋体" w:cs="宋体"/>
                <w:sz w:val="24"/>
                <w:szCs w:val="24"/>
              </w:rPr>
              <w:t>数量</w:t>
            </w:r>
          </w:p>
        </w:tc>
        <w:tc>
          <w:tcPr>
            <w:tcW w:w="1134" w:type="dxa"/>
            <w:vAlign w:val="center"/>
          </w:tcPr>
          <w:p>
            <w:pPr>
              <w:spacing w:line="400" w:lineRule="exact"/>
              <w:ind w:firstLine="34" w:firstLineChars="0"/>
              <w:jc w:val="center"/>
              <w:rPr>
                <w:rFonts w:ascii="宋体" w:hAnsi="宋体" w:eastAsia="宋体" w:cs="宋体"/>
                <w:sz w:val="24"/>
                <w:szCs w:val="24"/>
              </w:rPr>
            </w:pPr>
            <w:r>
              <w:rPr>
                <w:rFonts w:hint="eastAsia" w:ascii="宋体" w:hAnsi="宋体" w:eastAsia="宋体" w:cs="宋体"/>
                <w:sz w:val="24"/>
                <w:szCs w:val="24"/>
              </w:rPr>
              <w:t>比例（%）</w:t>
            </w:r>
          </w:p>
        </w:tc>
        <w:tc>
          <w:tcPr>
            <w:tcW w:w="1559" w:type="dxa"/>
            <w:vAlign w:val="center"/>
          </w:tcPr>
          <w:p>
            <w:pPr>
              <w:spacing w:line="400" w:lineRule="exact"/>
              <w:ind w:firstLineChars="0"/>
              <w:jc w:val="center"/>
              <w:rPr>
                <w:rFonts w:ascii="宋体" w:hAnsi="宋体" w:eastAsia="宋体" w:cs="宋体"/>
                <w:sz w:val="24"/>
                <w:szCs w:val="24"/>
              </w:rPr>
            </w:pPr>
            <w:r>
              <w:rPr>
                <w:rFonts w:hint="eastAsia" w:ascii="宋体" w:hAnsi="宋体" w:eastAsia="宋体" w:cs="宋体"/>
                <w:sz w:val="24"/>
                <w:szCs w:val="24"/>
              </w:rPr>
              <w:t>数量</w:t>
            </w:r>
          </w:p>
        </w:tc>
        <w:tc>
          <w:tcPr>
            <w:tcW w:w="1253" w:type="dxa"/>
            <w:vAlign w:val="center"/>
          </w:tcPr>
          <w:p>
            <w:pPr>
              <w:spacing w:line="400" w:lineRule="exact"/>
              <w:ind w:firstLine="34" w:firstLineChars="0"/>
              <w:jc w:val="center"/>
              <w:rPr>
                <w:rFonts w:ascii="宋体" w:hAnsi="宋体" w:eastAsia="宋体" w:cs="宋体"/>
                <w:sz w:val="24"/>
                <w:szCs w:val="24"/>
              </w:rPr>
            </w:pPr>
            <w:r>
              <w:rPr>
                <w:rFonts w:hint="eastAsia" w:ascii="宋体" w:hAnsi="宋体" w:eastAsia="宋体" w:cs="宋体"/>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1" w:type="dxa"/>
            <w:vAlign w:val="center"/>
          </w:tcPr>
          <w:p>
            <w:pPr>
              <w:spacing w:line="400" w:lineRule="exact"/>
              <w:ind w:firstLineChars="0"/>
              <w:jc w:val="left"/>
              <w:rPr>
                <w:rFonts w:ascii="宋体" w:hAnsi="宋体" w:eastAsia="宋体" w:cs="宋体"/>
                <w:sz w:val="24"/>
                <w:szCs w:val="24"/>
              </w:rPr>
            </w:pPr>
            <w:r>
              <w:rPr>
                <w:rFonts w:hint="eastAsia" w:ascii="宋体" w:hAnsi="宋体" w:eastAsia="宋体" w:cs="宋体"/>
                <w:sz w:val="24"/>
                <w:szCs w:val="24"/>
              </w:rPr>
              <w:t>一、限售条件流通股/非流通股</w:t>
            </w:r>
          </w:p>
        </w:tc>
        <w:tc>
          <w:tcPr>
            <w:tcW w:w="1701" w:type="dxa"/>
            <w:vAlign w:val="center"/>
          </w:tcPr>
          <w:p>
            <w:pPr>
              <w:widowControl/>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30,879,669</w:t>
            </w:r>
          </w:p>
        </w:tc>
        <w:tc>
          <w:tcPr>
            <w:tcW w:w="1134" w:type="dxa"/>
            <w:vAlign w:val="center"/>
          </w:tcPr>
          <w:p>
            <w:pPr>
              <w:widowControl/>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3.99</w:t>
            </w:r>
          </w:p>
        </w:tc>
        <w:tc>
          <w:tcPr>
            <w:tcW w:w="1559" w:type="dxa"/>
            <w:vAlign w:val="center"/>
          </w:tcPr>
          <w:p>
            <w:pPr>
              <w:spacing w:line="400" w:lineRule="exact"/>
              <w:ind w:firstLine="0" w:firstLineChars="0"/>
              <w:jc w:val="right"/>
              <w:rPr>
                <w:rFonts w:ascii="宋体" w:hAnsi="宋体" w:eastAsia="宋体" w:cs="宋体"/>
                <w:sz w:val="24"/>
                <w:szCs w:val="24"/>
              </w:rPr>
            </w:pPr>
            <w:r>
              <w:rPr>
                <w:rFonts w:hint="eastAsia" w:ascii="宋体" w:hAnsi="宋体" w:eastAsia="宋体" w:cs="宋体"/>
                <w:sz w:val="24"/>
                <w:szCs w:val="24"/>
              </w:rPr>
              <w:t>42,639,669</w:t>
            </w:r>
          </w:p>
        </w:tc>
        <w:tc>
          <w:tcPr>
            <w:tcW w:w="1253" w:type="dxa"/>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1" w:type="dxa"/>
            <w:vAlign w:val="center"/>
          </w:tcPr>
          <w:p>
            <w:pPr>
              <w:spacing w:line="400" w:lineRule="exact"/>
              <w:ind w:firstLineChars="0"/>
              <w:jc w:val="left"/>
              <w:rPr>
                <w:rFonts w:ascii="宋体" w:hAnsi="宋体" w:eastAsia="宋体" w:cs="宋体"/>
                <w:sz w:val="24"/>
                <w:szCs w:val="24"/>
              </w:rPr>
            </w:pPr>
            <w:r>
              <w:rPr>
                <w:rFonts w:hint="eastAsia" w:ascii="宋体" w:hAnsi="宋体" w:eastAsia="宋体" w:cs="宋体"/>
                <w:sz w:val="24"/>
                <w:szCs w:val="24"/>
              </w:rPr>
              <w:t>二、无限售条件流通股</w:t>
            </w:r>
          </w:p>
        </w:tc>
        <w:tc>
          <w:tcPr>
            <w:tcW w:w="1701" w:type="dxa"/>
            <w:vAlign w:val="center"/>
          </w:tcPr>
          <w:p>
            <w:pPr>
              <w:widowControl/>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743,876,333</w:t>
            </w:r>
          </w:p>
        </w:tc>
        <w:tc>
          <w:tcPr>
            <w:tcW w:w="1134" w:type="dxa"/>
            <w:vAlign w:val="center"/>
          </w:tcPr>
          <w:p>
            <w:pPr>
              <w:widowControl/>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96.01</w:t>
            </w:r>
          </w:p>
        </w:tc>
        <w:tc>
          <w:tcPr>
            <w:tcW w:w="1559" w:type="dxa"/>
            <w:vAlign w:val="center"/>
          </w:tcPr>
          <w:p>
            <w:pPr>
              <w:spacing w:line="400" w:lineRule="exact"/>
              <w:ind w:firstLine="0" w:firstLineChars="0"/>
              <w:jc w:val="right"/>
              <w:rPr>
                <w:rFonts w:ascii="宋体" w:hAnsi="宋体" w:eastAsia="宋体" w:cs="宋体"/>
                <w:sz w:val="24"/>
                <w:szCs w:val="24"/>
              </w:rPr>
            </w:pPr>
            <w:r>
              <w:rPr>
                <w:rFonts w:hint="eastAsia" w:ascii="宋体" w:hAnsi="宋体" w:eastAsia="宋体" w:cs="宋体"/>
                <w:sz w:val="24"/>
                <w:szCs w:val="24"/>
              </w:rPr>
              <w:t>732,116,333</w:t>
            </w:r>
          </w:p>
        </w:tc>
        <w:tc>
          <w:tcPr>
            <w:tcW w:w="1253" w:type="dxa"/>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94.50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61" w:type="dxa"/>
            <w:vAlign w:val="center"/>
          </w:tcPr>
          <w:p>
            <w:pPr>
              <w:spacing w:line="400" w:lineRule="exact"/>
              <w:ind w:firstLineChars="0"/>
              <w:jc w:val="left"/>
              <w:rPr>
                <w:rFonts w:ascii="宋体" w:hAnsi="宋体" w:eastAsia="宋体" w:cs="宋体"/>
                <w:sz w:val="24"/>
                <w:szCs w:val="24"/>
              </w:rPr>
            </w:pPr>
            <w:r>
              <w:rPr>
                <w:rFonts w:hint="eastAsia" w:ascii="宋体" w:hAnsi="宋体" w:eastAsia="宋体" w:cs="宋体"/>
                <w:sz w:val="24"/>
                <w:szCs w:val="24"/>
              </w:rPr>
              <w:t>三、总股本</w:t>
            </w:r>
          </w:p>
        </w:tc>
        <w:tc>
          <w:tcPr>
            <w:tcW w:w="1701" w:type="dxa"/>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774,756,002</w:t>
            </w:r>
          </w:p>
        </w:tc>
        <w:tc>
          <w:tcPr>
            <w:tcW w:w="1134" w:type="dxa"/>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100</w:t>
            </w:r>
          </w:p>
        </w:tc>
        <w:tc>
          <w:tcPr>
            <w:tcW w:w="1559" w:type="dxa"/>
            <w:vAlign w:val="center"/>
          </w:tcPr>
          <w:p>
            <w:pPr>
              <w:spacing w:line="400" w:lineRule="exact"/>
              <w:ind w:firstLine="0" w:firstLineChars="0"/>
              <w:jc w:val="right"/>
              <w:rPr>
                <w:rFonts w:ascii="宋体" w:hAnsi="宋体" w:eastAsia="宋体" w:cs="宋体"/>
                <w:sz w:val="24"/>
                <w:szCs w:val="24"/>
              </w:rPr>
            </w:pPr>
            <w:r>
              <w:rPr>
                <w:rFonts w:hint="eastAsia" w:ascii="宋体" w:hAnsi="宋体" w:eastAsia="宋体" w:cs="宋体"/>
                <w:sz w:val="24"/>
                <w:szCs w:val="24"/>
              </w:rPr>
              <w:t>774,756,002</w:t>
            </w:r>
          </w:p>
        </w:tc>
        <w:tc>
          <w:tcPr>
            <w:tcW w:w="1253" w:type="dxa"/>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100</w:t>
            </w:r>
          </w:p>
        </w:tc>
      </w:tr>
    </w:tbl>
    <w:p>
      <w:pPr>
        <w:spacing w:line="400" w:lineRule="exact"/>
        <w:ind w:firstLine="480"/>
        <w:rPr>
          <w:rFonts w:ascii="宋体" w:hAnsi="宋体" w:eastAsia="宋体" w:cs="宋体"/>
          <w:sz w:val="24"/>
          <w:szCs w:val="24"/>
        </w:rPr>
      </w:pPr>
      <w:r>
        <w:rPr>
          <w:rFonts w:hint="eastAsia" w:ascii="宋体" w:hAnsi="宋体" w:eastAsia="宋体" w:cs="宋体"/>
          <w:sz w:val="24"/>
          <w:szCs w:val="24"/>
        </w:rPr>
        <w:t>2、若按本次回购金额上限人民币2亿元，回购股份价格不超过人民币8.50元/股测算，预计回购数量约为2,353万股，占目前公司总股本的3.04%。按照截至2019年9月30日公司股本结构测算，若回购股份全部用于股权激励或员工持股计划并全部锁定，预计回购后公司股权结构变化情况如下：</w:t>
      </w:r>
    </w:p>
    <w:p>
      <w:pPr>
        <w:spacing w:line="400" w:lineRule="exact"/>
        <w:ind w:firstLine="480"/>
        <w:jc w:val="right"/>
        <w:rPr>
          <w:rFonts w:hint="eastAsia" w:ascii="宋体" w:hAnsi="宋体" w:eastAsia="宋体" w:cs="宋体"/>
          <w:sz w:val="24"/>
          <w:szCs w:val="24"/>
        </w:rPr>
      </w:pPr>
    </w:p>
    <w:p>
      <w:pPr>
        <w:spacing w:line="400" w:lineRule="exact"/>
        <w:ind w:firstLine="480"/>
        <w:jc w:val="right"/>
        <w:rPr>
          <w:rFonts w:ascii="宋体" w:hAnsi="宋体" w:eastAsia="宋体" w:cs="宋体"/>
          <w:sz w:val="24"/>
          <w:szCs w:val="24"/>
        </w:rPr>
      </w:pPr>
      <w:r>
        <w:rPr>
          <w:rFonts w:hint="eastAsia" w:ascii="宋体" w:hAnsi="宋体" w:eastAsia="宋体" w:cs="宋体"/>
          <w:sz w:val="24"/>
          <w:szCs w:val="24"/>
        </w:rPr>
        <w:t>单位：股</w:t>
      </w:r>
    </w:p>
    <w:tbl>
      <w:tblPr>
        <w:tblStyle w:val="5"/>
        <w:tblW w:w="9208" w:type="dxa"/>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1701"/>
        <w:gridCol w:w="1134"/>
        <w:gridCol w:w="1559"/>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Merge w:val="restart"/>
            <w:vAlign w:val="center"/>
          </w:tcPr>
          <w:p>
            <w:pPr>
              <w:spacing w:line="400" w:lineRule="exact"/>
              <w:ind w:firstLineChars="0"/>
              <w:jc w:val="center"/>
              <w:rPr>
                <w:rFonts w:ascii="宋体" w:hAnsi="宋体" w:eastAsia="宋体" w:cs="宋体"/>
                <w:sz w:val="24"/>
                <w:szCs w:val="24"/>
              </w:rPr>
            </w:pPr>
          </w:p>
        </w:tc>
        <w:tc>
          <w:tcPr>
            <w:tcW w:w="2835" w:type="dxa"/>
            <w:gridSpan w:val="2"/>
            <w:vAlign w:val="center"/>
          </w:tcPr>
          <w:p>
            <w:pPr>
              <w:spacing w:line="400" w:lineRule="exact"/>
              <w:ind w:firstLineChars="0"/>
              <w:jc w:val="center"/>
              <w:rPr>
                <w:rFonts w:ascii="宋体" w:hAnsi="宋体" w:eastAsia="宋体" w:cs="宋体"/>
                <w:sz w:val="24"/>
                <w:szCs w:val="24"/>
              </w:rPr>
            </w:pPr>
            <w:r>
              <w:rPr>
                <w:rFonts w:hint="eastAsia" w:ascii="宋体" w:hAnsi="宋体" w:eastAsia="宋体" w:cs="宋体"/>
                <w:sz w:val="24"/>
                <w:szCs w:val="24"/>
              </w:rPr>
              <w:t>本次变动前</w:t>
            </w:r>
          </w:p>
        </w:tc>
        <w:tc>
          <w:tcPr>
            <w:tcW w:w="2800" w:type="dxa"/>
            <w:gridSpan w:val="2"/>
            <w:vAlign w:val="center"/>
          </w:tcPr>
          <w:p>
            <w:pPr>
              <w:spacing w:line="400" w:lineRule="exact"/>
              <w:ind w:firstLineChars="0"/>
              <w:jc w:val="center"/>
              <w:rPr>
                <w:rFonts w:ascii="宋体" w:hAnsi="宋体" w:eastAsia="宋体" w:cs="宋体"/>
                <w:sz w:val="24"/>
                <w:szCs w:val="24"/>
              </w:rPr>
            </w:pPr>
            <w:r>
              <w:rPr>
                <w:rFonts w:hint="eastAsia" w:ascii="宋体" w:hAnsi="宋体" w:eastAsia="宋体" w:cs="宋体"/>
                <w:sz w:val="24"/>
                <w:szCs w:val="24"/>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Merge w:val="continue"/>
            <w:vAlign w:val="center"/>
          </w:tcPr>
          <w:p>
            <w:pPr>
              <w:spacing w:line="400" w:lineRule="exact"/>
              <w:ind w:firstLineChars="0"/>
              <w:jc w:val="center"/>
              <w:rPr>
                <w:rFonts w:ascii="宋体" w:hAnsi="宋体" w:eastAsia="宋体" w:cs="宋体"/>
                <w:sz w:val="24"/>
                <w:szCs w:val="24"/>
              </w:rPr>
            </w:pPr>
          </w:p>
        </w:tc>
        <w:tc>
          <w:tcPr>
            <w:tcW w:w="1701" w:type="dxa"/>
            <w:vAlign w:val="center"/>
          </w:tcPr>
          <w:p>
            <w:pPr>
              <w:spacing w:line="400" w:lineRule="exact"/>
              <w:ind w:firstLineChars="0"/>
              <w:jc w:val="center"/>
              <w:rPr>
                <w:rFonts w:ascii="宋体" w:hAnsi="宋体" w:eastAsia="宋体" w:cs="宋体"/>
                <w:sz w:val="24"/>
                <w:szCs w:val="24"/>
              </w:rPr>
            </w:pPr>
            <w:r>
              <w:rPr>
                <w:rFonts w:hint="eastAsia" w:ascii="宋体" w:hAnsi="宋体" w:eastAsia="宋体" w:cs="宋体"/>
                <w:sz w:val="24"/>
                <w:szCs w:val="24"/>
              </w:rPr>
              <w:t>数量</w:t>
            </w:r>
          </w:p>
        </w:tc>
        <w:tc>
          <w:tcPr>
            <w:tcW w:w="1134" w:type="dxa"/>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比例（%）</w:t>
            </w:r>
          </w:p>
        </w:tc>
        <w:tc>
          <w:tcPr>
            <w:tcW w:w="1559" w:type="dxa"/>
            <w:vAlign w:val="center"/>
          </w:tcPr>
          <w:p>
            <w:pPr>
              <w:spacing w:line="400" w:lineRule="exact"/>
              <w:ind w:firstLineChars="0"/>
              <w:jc w:val="center"/>
              <w:rPr>
                <w:rFonts w:ascii="宋体" w:hAnsi="宋体" w:eastAsia="宋体" w:cs="宋体"/>
                <w:sz w:val="24"/>
                <w:szCs w:val="24"/>
              </w:rPr>
            </w:pPr>
            <w:r>
              <w:rPr>
                <w:rFonts w:hint="eastAsia" w:ascii="宋体" w:hAnsi="宋体" w:eastAsia="宋体" w:cs="宋体"/>
                <w:sz w:val="24"/>
                <w:szCs w:val="24"/>
              </w:rPr>
              <w:t>数量</w:t>
            </w:r>
          </w:p>
        </w:tc>
        <w:tc>
          <w:tcPr>
            <w:tcW w:w="1241" w:type="dxa"/>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center"/>
          </w:tcPr>
          <w:p>
            <w:pPr>
              <w:spacing w:line="400" w:lineRule="exact"/>
              <w:ind w:firstLineChars="0"/>
              <w:jc w:val="left"/>
              <w:rPr>
                <w:rFonts w:ascii="宋体" w:hAnsi="宋体" w:eastAsia="宋体" w:cs="宋体"/>
                <w:sz w:val="24"/>
                <w:szCs w:val="24"/>
              </w:rPr>
            </w:pPr>
            <w:r>
              <w:rPr>
                <w:rFonts w:hint="eastAsia" w:ascii="宋体" w:hAnsi="宋体" w:eastAsia="宋体" w:cs="宋体"/>
                <w:sz w:val="24"/>
                <w:szCs w:val="24"/>
              </w:rPr>
              <w:t>一、限售条件流通股/非流通股</w:t>
            </w:r>
          </w:p>
        </w:tc>
        <w:tc>
          <w:tcPr>
            <w:tcW w:w="1701" w:type="dxa"/>
            <w:vAlign w:val="center"/>
          </w:tcPr>
          <w:p>
            <w:pPr>
              <w:widowControl/>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30,879,669</w:t>
            </w:r>
          </w:p>
        </w:tc>
        <w:tc>
          <w:tcPr>
            <w:tcW w:w="1134" w:type="dxa"/>
            <w:vAlign w:val="center"/>
          </w:tcPr>
          <w:p>
            <w:pPr>
              <w:widowControl/>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3.99</w:t>
            </w:r>
          </w:p>
        </w:tc>
        <w:tc>
          <w:tcPr>
            <w:tcW w:w="1559" w:type="dxa"/>
            <w:vAlign w:val="center"/>
          </w:tcPr>
          <w:p>
            <w:pPr>
              <w:spacing w:line="400" w:lineRule="exact"/>
              <w:ind w:firstLine="0" w:firstLineChars="0"/>
              <w:jc w:val="right"/>
              <w:rPr>
                <w:rFonts w:ascii="宋体" w:hAnsi="宋体" w:eastAsia="宋体" w:cs="宋体"/>
                <w:sz w:val="24"/>
                <w:szCs w:val="24"/>
              </w:rPr>
            </w:pPr>
            <w:r>
              <w:rPr>
                <w:rFonts w:hint="eastAsia" w:ascii="宋体" w:hAnsi="宋体" w:eastAsia="宋体" w:cs="宋体"/>
                <w:sz w:val="24"/>
                <w:szCs w:val="24"/>
              </w:rPr>
              <w:t>54,409,669</w:t>
            </w:r>
          </w:p>
        </w:tc>
        <w:tc>
          <w:tcPr>
            <w:tcW w:w="1241" w:type="dxa"/>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center"/>
          </w:tcPr>
          <w:p>
            <w:pPr>
              <w:spacing w:line="400" w:lineRule="exact"/>
              <w:ind w:firstLineChars="0"/>
              <w:jc w:val="left"/>
              <w:rPr>
                <w:rFonts w:ascii="宋体" w:hAnsi="宋体" w:eastAsia="宋体" w:cs="宋体"/>
                <w:sz w:val="24"/>
                <w:szCs w:val="24"/>
              </w:rPr>
            </w:pPr>
            <w:r>
              <w:rPr>
                <w:rFonts w:hint="eastAsia" w:ascii="宋体" w:hAnsi="宋体" w:eastAsia="宋体" w:cs="宋体"/>
                <w:sz w:val="24"/>
                <w:szCs w:val="24"/>
              </w:rPr>
              <w:t>二、无限售条件流通股</w:t>
            </w:r>
          </w:p>
        </w:tc>
        <w:tc>
          <w:tcPr>
            <w:tcW w:w="1701" w:type="dxa"/>
            <w:vAlign w:val="center"/>
          </w:tcPr>
          <w:p>
            <w:pPr>
              <w:widowControl/>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743,876,333</w:t>
            </w:r>
          </w:p>
        </w:tc>
        <w:tc>
          <w:tcPr>
            <w:tcW w:w="1134" w:type="dxa"/>
            <w:vAlign w:val="center"/>
          </w:tcPr>
          <w:p>
            <w:pPr>
              <w:widowControl/>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96.01</w:t>
            </w:r>
          </w:p>
        </w:tc>
        <w:tc>
          <w:tcPr>
            <w:tcW w:w="1559" w:type="dxa"/>
            <w:vAlign w:val="center"/>
          </w:tcPr>
          <w:p>
            <w:pPr>
              <w:spacing w:line="400" w:lineRule="exact"/>
              <w:ind w:firstLine="0" w:firstLineChars="0"/>
              <w:jc w:val="right"/>
              <w:rPr>
                <w:rFonts w:ascii="宋体" w:hAnsi="宋体" w:eastAsia="宋体" w:cs="宋体"/>
                <w:sz w:val="24"/>
                <w:szCs w:val="24"/>
              </w:rPr>
            </w:pPr>
            <w:r>
              <w:rPr>
                <w:rFonts w:hint="eastAsia" w:ascii="宋体" w:hAnsi="宋体" w:eastAsia="宋体" w:cs="宋体"/>
                <w:sz w:val="24"/>
                <w:szCs w:val="24"/>
              </w:rPr>
              <w:t>720,346,333</w:t>
            </w:r>
          </w:p>
        </w:tc>
        <w:tc>
          <w:tcPr>
            <w:tcW w:w="1241" w:type="dxa"/>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92.98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573" w:type="dxa"/>
            <w:vAlign w:val="center"/>
          </w:tcPr>
          <w:p>
            <w:pPr>
              <w:spacing w:line="400" w:lineRule="exact"/>
              <w:ind w:firstLineChars="0"/>
              <w:jc w:val="left"/>
              <w:rPr>
                <w:rFonts w:ascii="宋体" w:hAnsi="宋体" w:eastAsia="宋体" w:cs="宋体"/>
                <w:sz w:val="24"/>
                <w:szCs w:val="24"/>
              </w:rPr>
            </w:pPr>
            <w:r>
              <w:rPr>
                <w:rFonts w:hint="eastAsia" w:ascii="宋体" w:hAnsi="宋体" w:eastAsia="宋体" w:cs="宋体"/>
                <w:sz w:val="24"/>
                <w:szCs w:val="24"/>
              </w:rPr>
              <w:t>三、总股本</w:t>
            </w:r>
          </w:p>
        </w:tc>
        <w:tc>
          <w:tcPr>
            <w:tcW w:w="1701" w:type="dxa"/>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774,756,002</w:t>
            </w:r>
          </w:p>
        </w:tc>
        <w:tc>
          <w:tcPr>
            <w:tcW w:w="1134" w:type="dxa"/>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100</w:t>
            </w:r>
          </w:p>
        </w:tc>
        <w:tc>
          <w:tcPr>
            <w:tcW w:w="1559" w:type="dxa"/>
            <w:vAlign w:val="center"/>
          </w:tcPr>
          <w:p>
            <w:pPr>
              <w:spacing w:line="400" w:lineRule="exact"/>
              <w:ind w:firstLine="0" w:firstLineChars="0"/>
              <w:jc w:val="right"/>
              <w:rPr>
                <w:rFonts w:ascii="宋体" w:hAnsi="宋体" w:eastAsia="宋体" w:cs="宋体"/>
                <w:sz w:val="24"/>
                <w:szCs w:val="24"/>
              </w:rPr>
            </w:pPr>
            <w:r>
              <w:rPr>
                <w:rFonts w:hint="eastAsia" w:ascii="宋体" w:hAnsi="宋体" w:eastAsia="宋体" w:cs="宋体"/>
                <w:sz w:val="24"/>
                <w:szCs w:val="24"/>
              </w:rPr>
              <w:t>774,756,002</w:t>
            </w:r>
          </w:p>
        </w:tc>
        <w:tc>
          <w:tcPr>
            <w:tcW w:w="1241" w:type="dxa"/>
            <w:vAlign w:val="center"/>
          </w:tcPr>
          <w:p>
            <w:pPr>
              <w:spacing w:line="40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100</w:t>
            </w:r>
          </w:p>
        </w:tc>
      </w:tr>
    </w:tbl>
    <w:p>
      <w:pPr>
        <w:spacing w:beforeLines="30" w:line="400" w:lineRule="exact"/>
        <w:ind w:firstLine="482"/>
        <w:rPr>
          <w:rFonts w:ascii="宋体" w:hAnsi="宋体" w:eastAsia="宋体" w:cs="宋体"/>
          <w:sz w:val="24"/>
          <w:szCs w:val="24"/>
        </w:rPr>
      </w:pPr>
      <w:r>
        <w:rPr>
          <w:rFonts w:hint="eastAsia" w:ascii="宋体" w:hAnsi="宋体"/>
          <w:b/>
          <w:sz w:val="24"/>
        </w:rPr>
        <w:t>（八）管理层关于本次回购股份对公司经营、盈利能力、财务、研发、债务履行能</w:t>
      </w:r>
      <w:r>
        <w:rPr>
          <w:rFonts w:hint="eastAsia" w:ascii="宋体" w:hAnsi="宋体" w:eastAsia="宋体" w:cs="宋体"/>
          <w:b/>
          <w:bCs/>
          <w:sz w:val="24"/>
          <w:szCs w:val="24"/>
        </w:rPr>
        <w:t>力、未来发展影响和维持上市地位等情况的分析</w:t>
      </w:r>
      <w:r>
        <w:rPr>
          <w:rFonts w:ascii="宋体" w:hAnsi="宋体" w:eastAsia="宋体" w:cs="宋体"/>
          <w:b/>
          <w:bCs/>
          <w:sz w:val="24"/>
          <w:szCs w:val="24"/>
        </w:rPr>
        <w:t xml:space="preserve"> </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若本次回购金额上限2亿元全部使用完毕，以公司2019年9月30日财务数据测算，回购股份金额占公司总资产、占属于上市公司股东的净资产、流动资产的比例分别为5.96%、11.94%、8.55%。根据公司经营、财务及未来发展情况，公司认为以人民币2亿元上限金额回购股份，不会对公司的经营、财务和未来发展产生重大影响,不会改变公司的上市公司地位。</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如前所述，若按照回购数量约2,353万股测算，回购后不会导致公司控制权发生变化，也不会改变公司的上市公司地位，股权分布情况仍然符合上市条件。</w:t>
      </w:r>
    </w:p>
    <w:p>
      <w:pPr>
        <w:spacing w:line="400" w:lineRule="exact"/>
        <w:ind w:firstLine="480"/>
        <w:rPr>
          <w:rFonts w:ascii="宋体" w:hAnsi="宋体" w:eastAsia="宋体" w:cs="宋体"/>
          <w:sz w:val="24"/>
          <w:szCs w:val="24"/>
        </w:rPr>
      </w:pPr>
      <w:r>
        <w:rPr>
          <w:rFonts w:hint="eastAsia" w:ascii="宋体" w:hAnsi="宋体" w:eastAsia="宋体" w:cs="宋体"/>
          <w:color w:val="000000"/>
          <w:sz w:val="24"/>
          <w:szCs w:val="24"/>
        </w:rPr>
        <w:t>公司全体董事承诺，本次回购股份不会损害上市公司的债务履行能力和持续经营能力。</w:t>
      </w:r>
      <w:r>
        <w:rPr>
          <w:rFonts w:ascii="宋体" w:hAnsi="宋体" w:eastAsia="宋体" w:cs="宋体"/>
          <w:sz w:val="24"/>
          <w:szCs w:val="24"/>
        </w:rPr>
        <w:t xml:space="preserve"> </w:t>
      </w:r>
    </w:p>
    <w:p>
      <w:pPr>
        <w:spacing w:beforeLines="30" w:line="400" w:lineRule="exact"/>
        <w:ind w:firstLine="482"/>
        <w:rPr>
          <w:rFonts w:ascii="宋体" w:hAnsi="宋体" w:eastAsia="宋体" w:cs="宋体"/>
          <w:b/>
          <w:bCs/>
          <w:sz w:val="24"/>
          <w:szCs w:val="24"/>
        </w:rPr>
      </w:pPr>
      <w:r>
        <w:rPr>
          <w:rFonts w:hint="eastAsia" w:ascii="宋体" w:hAnsi="宋体" w:eastAsia="宋体" w:cs="宋体"/>
          <w:b/>
          <w:bCs/>
          <w:sz w:val="24"/>
          <w:szCs w:val="24"/>
        </w:rPr>
        <w:t>（九）上市公司控股股东、合计持股5%以上的股东及其一致行动人、董事、监事、高级管理人员在董事会做出回购股份决议前6个月内买卖本公司股份情况及说明，是否存在单独或者与他人联合进行内幕交易及操纵市场行为的说明，以及在回购期间的增减持计划；持股5%以上股东未来六个月的减持计划（如适用）。</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上市公司控股股东、合计持股5%以上的股东及其一致行动人、董事、监事、高级管理人员在董事会作出回购股份决议（2020年1月6日）前6个月不存在买卖本公司股份的行为,不存在单独或者与他人联合进行内幕交易及市场操纵的行为；以及在回购期间未有增减持计划；持股5%以上股东未来六个月不存在减持计划。</w:t>
      </w:r>
    </w:p>
    <w:p>
      <w:pPr>
        <w:spacing w:beforeLines="30" w:line="400" w:lineRule="exact"/>
        <w:ind w:firstLine="482"/>
        <w:rPr>
          <w:rFonts w:ascii="宋体" w:hAnsi="宋体" w:eastAsia="宋体" w:cs="宋体"/>
          <w:b/>
          <w:bCs/>
          <w:sz w:val="24"/>
          <w:szCs w:val="24"/>
        </w:rPr>
      </w:pPr>
      <w:r>
        <w:rPr>
          <w:rFonts w:hint="eastAsia" w:ascii="宋体" w:hAnsi="宋体" w:eastAsia="宋体" w:cs="宋体"/>
          <w:b/>
          <w:bCs/>
          <w:sz w:val="24"/>
          <w:szCs w:val="24"/>
        </w:rPr>
        <w:t>（十）回购股份后依法注销或者转让的相关安排</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本次回购股份将全部用于对公司核心骨干员工实施股权激励或员工持股计划。公司如在股份回购完成之后36个月内未能实施上述用途，或所回购的股份未全部用于上述用途，未使用的部分将依法予以注销。</w:t>
      </w:r>
    </w:p>
    <w:p>
      <w:pPr>
        <w:spacing w:beforeLines="30" w:line="400" w:lineRule="exact"/>
        <w:ind w:firstLine="482"/>
        <w:rPr>
          <w:rFonts w:ascii="宋体" w:hAnsi="宋体" w:eastAsia="宋体" w:cs="宋体"/>
          <w:b/>
          <w:bCs/>
          <w:sz w:val="24"/>
          <w:szCs w:val="24"/>
        </w:rPr>
      </w:pPr>
      <w:r>
        <w:rPr>
          <w:rFonts w:hint="eastAsia" w:ascii="宋体" w:hAnsi="宋体" w:eastAsia="宋体" w:cs="宋体"/>
          <w:b/>
          <w:bCs/>
          <w:sz w:val="24"/>
          <w:szCs w:val="24"/>
        </w:rPr>
        <w:t>（十一）防止侵害债权人利益的相关安排</w:t>
      </w:r>
    </w:p>
    <w:p>
      <w:pPr>
        <w:spacing w:line="400" w:lineRule="exact"/>
        <w:ind w:firstLine="480"/>
        <w:rPr>
          <w:rFonts w:hint="eastAsia" w:ascii="宋体" w:hAnsi="宋体" w:eastAsia="宋体" w:cs="宋体"/>
          <w:sz w:val="24"/>
          <w:szCs w:val="24"/>
        </w:rPr>
      </w:pPr>
      <w:r>
        <w:rPr>
          <w:rFonts w:hint="eastAsia" w:ascii="宋体" w:hAnsi="宋体" w:eastAsia="宋体" w:cs="宋体"/>
          <w:sz w:val="24"/>
          <w:szCs w:val="24"/>
        </w:rPr>
        <w:t>本次回购股份不会影响公司的正常经营和财务状况，若公司发生注销所回购股份的情形，公司将依据《公司法》等有关规定及时履行相关决策程序并通知所有债权人，充分保障债权人的合法权益。</w:t>
      </w:r>
    </w:p>
    <w:p>
      <w:pPr>
        <w:spacing w:line="400" w:lineRule="exact"/>
        <w:ind w:firstLine="480"/>
        <w:rPr>
          <w:rFonts w:ascii="宋体" w:hAnsi="宋体" w:eastAsia="宋体" w:cs="宋体"/>
          <w:sz w:val="24"/>
          <w:szCs w:val="24"/>
        </w:rPr>
      </w:pPr>
    </w:p>
    <w:p>
      <w:pPr>
        <w:spacing w:beforeLines="50" w:line="400" w:lineRule="exact"/>
        <w:ind w:firstLine="482"/>
        <w:rPr>
          <w:rFonts w:ascii="宋体" w:hAnsi="宋体" w:eastAsia="宋体" w:cs="宋体"/>
          <w:color w:val="000000"/>
          <w:sz w:val="24"/>
          <w:szCs w:val="24"/>
        </w:rPr>
      </w:pPr>
      <w:r>
        <w:rPr>
          <w:rFonts w:hint="eastAsia" w:ascii="宋体" w:hAnsi="宋体" w:eastAsia="宋体" w:cs="宋体"/>
          <w:b/>
          <w:bCs/>
          <w:color w:val="000000"/>
          <w:sz w:val="24"/>
          <w:szCs w:val="24"/>
        </w:rPr>
        <w:t>二、回购方案的审议及实施程序</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2020年1月6日，公司召开第六届董事会第二十七次会议，审议通过《关于回购公司股份方案的议案》，且出席本次董事会的董事人数超过三分之二。根据相关法规及《公司章程》规定，本次回购股份方案无需提交股东大会审议。</w:t>
      </w:r>
    </w:p>
    <w:p>
      <w:pPr>
        <w:spacing w:line="400" w:lineRule="exact"/>
        <w:ind w:firstLine="480"/>
        <w:rPr>
          <w:rFonts w:ascii="宋体" w:hAnsi="宋体" w:eastAsia="宋体" w:cs="宋体"/>
          <w:sz w:val="24"/>
          <w:szCs w:val="24"/>
        </w:rPr>
      </w:pPr>
      <w:r>
        <w:rPr>
          <w:rFonts w:hint="eastAsia" w:ascii="宋体" w:hAnsi="宋体" w:eastAsia="宋体" w:cs="宋体"/>
          <w:sz w:val="24"/>
          <w:szCs w:val="24"/>
        </w:rPr>
        <w:t>公司独立董事发表了明确同意意见，具体内容如下：</w:t>
      </w:r>
    </w:p>
    <w:p>
      <w:pPr>
        <w:spacing w:line="400" w:lineRule="exact"/>
        <w:ind w:firstLine="480"/>
        <w:rPr>
          <w:rFonts w:ascii="宋体" w:hAnsi="宋体" w:eastAsia="宋体" w:cs="宋体"/>
          <w:color w:val="000000"/>
          <w:sz w:val="24"/>
          <w:szCs w:val="24"/>
        </w:rPr>
      </w:pPr>
      <w:r>
        <w:rPr>
          <w:rFonts w:hint="eastAsia" w:ascii="宋体" w:hAnsi="宋体" w:eastAsia="宋体" w:cs="宋体"/>
          <w:sz w:val="24"/>
          <w:szCs w:val="24"/>
        </w:rPr>
        <w:t>1、本次公司回购股份的方案符合《中华人民共和国公司法》、《深圳证券交易所上市公司回购股份实施细则》等法律法规、规范性文件及《公司章程》的有关规定。审议该事项的董事会会议表决程序合法、合规</w:t>
      </w:r>
      <w:r>
        <w:rPr>
          <w:rFonts w:hint="eastAsia" w:ascii="宋体" w:hAnsi="宋体" w:eastAsia="宋体" w:cs="宋体"/>
          <w:color w:val="000000"/>
          <w:sz w:val="24"/>
          <w:szCs w:val="24"/>
        </w:rPr>
        <w:t>。</w:t>
      </w:r>
    </w:p>
    <w:p>
      <w:pPr>
        <w:spacing w:line="40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2、本次回购的股份拟用于股权激励或员工持股计划，有利于充分调动公司核心骨干员工的积极性，完善公司长效激励机制，提高团队凝聚力和公司竞争力，有效推动公司的长远健康发展。</w:t>
      </w:r>
    </w:p>
    <w:p>
      <w:pPr>
        <w:spacing w:line="40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3、公司本次回购股份的资金来自公司的自有资金或自筹资金，回购价格公允合理，不存在损害公司股东合法权益的情形。</w:t>
      </w:r>
    </w:p>
    <w:p>
      <w:pPr>
        <w:spacing w:line="400" w:lineRule="exact"/>
        <w:ind w:firstLine="480"/>
        <w:rPr>
          <w:rFonts w:ascii="宋体" w:hAnsi="宋体" w:eastAsia="宋体" w:cs="宋体"/>
          <w:b/>
          <w:bCs/>
          <w:color w:val="000000"/>
          <w:sz w:val="24"/>
          <w:szCs w:val="24"/>
        </w:rPr>
      </w:pPr>
      <w:r>
        <w:rPr>
          <w:rFonts w:hint="eastAsia" w:ascii="宋体" w:hAnsi="宋体" w:eastAsia="宋体" w:cs="宋体"/>
          <w:color w:val="000000"/>
          <w:sz w:val="24"/>
          <w:szCs w:val="24"/>
        </w:rPr>
        <w:t>综上所述，我们认为公司本次回购股份合法、合规，从提升公司价值角度而言是必要的，从对公司财务及经营的影响看是可行的，符合公司和全体股东的利益。因此，我们一致同意公司本次回购股份事项。</w:t>
      </w:r>
    </w:p>
    <w:p>
      <w:pPr>
        <w:spacing w:beforeLines="50" w:line="400" w:lineRule="exact"/>
        <w:ind w:firstLine="482"/>
        <w:rPr>
          <w:rFonts w:ascii="宋体" w:hAnsi="宋体" w:eastAsia="宋体" w:cs="宋体"/>
          <w:b/>
          <w:bCs/>
          <w:color w:val="000000"/>
          <w:sz w:val="24"/>
          <w:szCs w:val="24"/>
        </w:rPr>
      </w:pPr>
      <w:r>
        <w:rPr>
          <w:rFonts w:hint="eastAsia" w:ascii="宋体" w:hAnsi="宋体" w:eastAsia="宋体" w:cs="宋体"/>
          <w:b/>
          <w:bCs/>
          <w:color w:val="000000"/>
          <w:sz w:val="24"/>
          <w:szCs w:val="24"/>
        </w:rPr>
        <w:t>三、回购方案的风险提示</w:t>
      </w:r>
    </w:p>
    <w:p>
      <w:pPr>
        <w:spacing w:line="40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1、 本次回购股份存在回购期限内股票价格持续超出回购价格上限，而导致本次回购计划无法顺利实施的风险。</w:t>
      </w:r>
    </w:p>
    <w:p>
      <w:pPr>
        <w:spacing w:line="40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2、本次回购股份用于对核心骨干员工实施股权激励或员工持股计划，可能因股权激励或员工持股计划未能经公司董事会和股东大会等决策机构审议通过、激励对象放弃认购等原因，导致已回购股票无法全部授出的风险。</w:t>
      </w:r>
    </w:p>
    <w:p>
      <w:pPr>
        <w:spacing w:line="40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3、公司将在回购期限内根据市场情况择机实施股份回购并根据进展情况及时履行信息披露义务。</w:t>
      </w:r>
    </w:p>
    <w:p>
      <w:pPr>
        <w:spacing w:line="40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敬请投资者注意投资风险。</w:t>
      </w:r>
    </w:p>
    <w:p>
      <w:pPr>
        <w:numPr>
          <w:ilvl w:val="0"/>
          <w:numId w:val="3"/>
        </w:numPr>
        <w:spacing w:beforeLines="50" w:line="400" w:lineRule="exact"/>
        <w:ind w:firstLine="482"/>
        <w:rPr>
          <w:rFonts w:ascii="宋体" w:hAnsi="宋体" w:eastAsia="宋体" w:cs="宋体"/>
          <w:b/>
          <w:bCs/>
          <w:color w:val="000000"/>
          <w:sz w:val="24"/>
          <w:szCs w:val="24"/>
        </w:rPr>
      </w:pPr>
      <w:r>
        <w:rPr>
          <w:rFonts w:hint="eastAsia" w:ascii="宋体" w:hAnsi="宋体" w:eastAsia="宋体" w:cs="宋体"/>
          <w:b/>
          <w:bCs/>
          <w:color w:val="000000"/>
          <w:sz w:val="24"/>
          <w:szCs w:val="24"/>
        </w:rPr>
        <w:t>备查文件</w:t>
      </w:r>
    </w:p>
    <w:p>
      <w:pPr>
        <w:spacing w:line="40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1、兔宝宝：第六届第二十七次董事会决议；</w:t>
      </w:r>
    </w:p>
    <w:p>
      <w:pPr>
        <w:spacing w:line="40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2、独立董事：关于回购公司股份方案的独立意见。</w:t>
      </w:r>
    </w:p>
    <w:p>
      <w:pPr>
        <w:spacing w:line="40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特此公告。</w:t>
      </w:r>
    </w:p>
    <w:p>
      <w:pPr>
        <w:spacing w:line="400" w:lineRule="exact"/>
        <w:ind w:firstLine="480"/>
        <w:rPr>
          <w:rFonts w:ascii="宋体" w:hAnsi="宋体" w:eastAsia="宋体" w:cs="宋体"/>
          <w:color w:val="000000"/>
          <w:sz w:val="24"/>
          <w:szCs w:val="24"/>
        </w:rPr>
      </w:pPr>
    </w:p>
    <w:p>
      <w:pPr>
        <w:spacing w:line="400" w:lineRule="exact"/>
        <w:ind w:firstLine="480"/>
        <w:jc w:val="right"/>
        <w:rPr>
          <w:rFonts w:ascii="宋体" w:hAnsi="宋体" w:eastAsia="宋体" w:cs="宋体"/>
          <w:sz w:val="24"/>
        </w:rPr>
      </w:pPr>
      <w:r>
        <w:rPr>
          <w:rFonts w:hint="eastAsia" w:ascii="宋体" w:hAnsi="宋体" w:eastAsia="宋体" w:cs="宋体"/>
          <w:sz w:val="24"/>
        </w:rPr>
        <w:t>德华兔宝宝装饰新材股份有限公司</w:t>
      </w:r>
    </w:p>
    <w:p>
      <w:pPr>
        <w:spacing w:line="400" w:lineRule="exact"/>
        <w:ind w:firstLine="6960" w:firstLineChars="2900"/>
        <w:rPr>
          <w:rFonts w:ascii="宋体" w:hAnsi="宋体" w:eastAsia="宋体" w:cs="宋体"/>
          <w:sz w:val="24"/>
        </w:rPr>
      </w:pPr>
      <w:r>
        <w:rPr>
          <w:rFonts w:hint="eastAsia" w:ascii="宋体" w:hAnsi="宋体" w:eastAsia="宋体" w:cs="宋体"/>
          <w:sz w:val="24"/>
        </w:rPr>
        <w:t>董 事 会</w:t>
      </w:r>
    </w:p>
    <w:p>
      <w:pPr>
        <w:spacing w:line="400" w:lineRule="exact"/>
        <w:ind w:firstLine="480"/>
        <w:jc w:val="center"/>
      </w:pPr>
      <w:r>
        <w:rPr>
          <w:rFonts w:hint="eastAsia" w:ascii="宋体" w:hAnsi="宋体" w:eastAsia="宋体" w:cs="宋体"/>
          <w:sz w:val="24"/>
        </w:rPr>
        <w:t xml:space="preserve">                                          2020年1月7日</w:t>
      </w:r>
    </w:p>
    <w:sectPr>
      <w:headerReference r:id="rId5" w:type="first"/>
      <w:footerReference r:id="rId8" w:type="first"/>
      <w:headerReference r:id="rId3" w:type="default"/>
      <w:footerReference r:id="rId6" w:type="default"/>
      <w:headerReference r:id="rId4" w:type="even"/>
      <w:footerReference r:id="rId7" w:type="even"/>
      <w:pgSz w:w="11906" w:h="16838"/>
      <w:pgMar w:top="1247" w:right="1361" w:bottom="1247" w:left="136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swiss"/>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745C7"/>
    <w:multiLevelType w:val="singleLevel"/>
    <w:tmpl w:val="5DD745C7"/>
    <w:lvl w:ilvl="0" w:tentative="0">
      <w:start w:val="1"/>
      <w:numFmt w:val="decimal"/>
      <w:suff w:val="nothing"/>
      <w:lvlText w:val="%1、"/>
      <w:lvlJc w:val="left"/>
    </w:lvl>
  </w:abstractNum>
  <w:abstractNum w:abstractNumId="1">
    <w:nsid w:val="5DD7461D"/>
    <w:multiLevelType w:val="singleLevel"/>
    <w:tmpl w:val="5DD7461D"/>
    <w:lvl w:ilvl="0" w:tentative="0">
      <w:start w:val="1"/>
      <w:numFmt w:val="decimal"/>
      <w:suff w:val="nothing"/>
      <w:lvlText w:val="（%1）"/>
      <w:lvlJc w:val="left"/>
    </w:lvl>
  </w:abstractNum>
  <w:abstractNum w:abstractNumId="2">
    <w:nsid w:val="5DFC5B04"/>
    <w:multiLevelType w:val="singleLevel"/>
    <w:tmpl w:val="5DFC5B04"/>
    <w:lvl w:ilvl="0" w:tentative="0">
      <w:start w:val="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1EB1EC0"/>
    <w:rsid w:val="00123E7A"/>
    <w:rsid w:val="00155EC3"/>
    <w:rsid w:val="0016263E"/>
    <w:rsid w:val="00184AD7"/>
    <w:rsid w:val="001C65D0"/>
    <w:rsid w:val="00292EDE"/>
    <w:rsid w:val="0049011A"/>
    <w:rsid w:val="00593435"/>
    <w:rsid w:val="006065CC"/>
    <w:rsid w:val="00900C40"/>
    <w:rsid w:val="00935DD0"/>
    <w:rsid w:val="00964A3D"/>
    <w:rsid w:val="00A620C8"/>
    <w:rsid w:val="00C32692"/>
    <w:rsid w:val="00C713ED"/>
    <w:rsid w:val="00CF7C21"/>
    <w:rsid w:val="00D102C4"/>
    <w:rsid w:val="00E774E7"/>
    <w:rsid w:val="00EC046E"/>
    <w:rsid w:val="00ED3829"/>
    <w:rsid w:val="00F32539"/>
    <w:rsid w:val="00F3791E"/>
    <w:rsid w:val="011C4EAF"/>
    <w:rsid w:val="0150081E"/>
    <w:rsid w:val="03B248F2"/>
    <w:rsid w:val="05DD0885"/>
    <w:rsid w:val="05E46683"/>
    <w:rsid w:val="06886C2A"/>
    <w:rsid w:val="08D045E6"/>
    <w:rsid w:val="090217FD"/>
    <w:rsid w:val="0980486E"/>
    <w:rsid w:val="09C845BE"/>
    <w:rsid w:val="0B5777CA"/>
    <w:rsid w:val="0D8D47B9"/>
    <w:rsid w:val="0E693484"/>
    <w:rsid w:val="11967BE2"/>
    <w:rsid w:val="11AC7E98"/>
    <w:rsid w:val="12154FB7"/>
    <w:rsid w:val="126E53B9"/>
    <w:rsid w:val="15C97664"/>
    <w:rsid w:val="166E3B7D"/>
    <w:rsid w:val="170B5298"/>
    <w:rsid w:val="17607D87"/>
    <w:rsid w:val="17AE1E8B"/>
    <w:rsid w:val="17EB594E"/>
    <w:rsid w:val="17F01073"/>
    <w:rsid w:val="18C50C31"/>
    <w:rsid w:val="196561C3"/>
    <w:rsid w:val="19A66D5B"/>
    <w:rsid w:val="19AF0DFE"/>
    <w:rsid w:val="1C04683D"/>
    <w:rsid w:val="1C2A3E41"/>
    <w:rsid w:val="1C816CD6"/>
    <w:rsid w:val="1CD63CE1"/>
    <w:rsid w:val="1E351014"/>
    <w:rsid w:val="1FA943AD"/>
    <w:rsid w:val="20C47A22"/>
    <w:rsid w:val="20EA28FA"/>
    <w:rsid w:val="21FE13BD"/>
    <w:rsid w:val="22471279"/>
    <w:rsid w:val="236552F7"/>
    <w:rsid w:val="24830BCD"/>
    <w:rsid w:val="25BC31BF"/>
    <w:rsid w:val="284313EF"/>
    <w:rsid w:val="2A4243B9"/>
    <w:rsid w:val="2B5A6AA4"/>
    <w:rsid w:val="2B98447F"/>
    <w:rsid w:val="2C446D31"/>
    <w:rsid w:val="30556EBE"/>
    <w:rsid w:val="31917C20"/>
    <w:rsid w:val="330473F1"/>
    <w:rsid w:val="33916B65"/>
    <w:rsid w:val="349029E6"/>
    <w:rsid w:val="35EE0EC5"/>
    <w:rsid w:val="360507C8"/>
    <w:rsid w:val="36C9058D"/>
    <w:rsid w:val="3749531C"/>
    <w:rsid w:val="390F0608"/>
    <w:rsid w:val="399A7AC6"/>
    <w:rsid w:val="3BC27D0A"/>
    <w:rsid w:val="3CEA6DF9"/>
    <w:rsid w:val="3ED53B28"/>
    <w:rsid w:val="3F9573B4"/>
    <w:rsid w:val="407E0FF5"/>
    <w:rsid w:val="40C801E4"/>
    <w:rsid w:val="41FD74FD"/>
    <w:rsid w:val="43636CBF"/>
    <w:rsid w:val="459929E6"/>
    <w:rsid w:val="46E318C9"/>
    <w:rsid w:val="474330BE"/>
    <w:rsid w:val="47B546AF"/>
    <w:rsid w:val="47EB41DB"/>
    <w:rsid w:val="47ED77DD"/>
    <w:rsid w:val="4820136E"/>
    <w:rsid w:val="48DA17D2"/>
    <w:rsid w:val="49823464"/>
    <w:rsid w:val="4B2B2F44"/>
    <w:rsid w:val="4BE95EF6"/>
    <w:rsid w:val="4BEA71D4"/>
    <w:rsid w:val="4D103B23"/>
    <w:rsid w:val="4DF65287"/>
    <w:rsid w:val="4E2742E5"/>
    <w:rsid w:val="4E9B2CD0"/>
    <w:rsid w:val="500A1FC7"/>
    <w:rsid w:val="51216073"/>
    <w:rsid w:val="53C6582B"/>
    <w:rsid w:val="54020232"/>
    <w:rsid w:val="560F0643"/>
    <w:rsid w:val="574507CD"/>
    <w:rsid w:val="58426E4F"/>
    <w:rsid w:val="5DBE3FFF"/>
    <w:rsid w:val="5E085FB0"/>
    <w:rsid w:val="5E5745CB"/>
    <w:rsid w:val="608F6443"/>
    <w:rsid w:val="61EB1EC0"/>
    <w:rsid w:val="63147D73"/>
    <w:rsid w:val="632C733A"/>
    <w:rsid w:val="63931CFB"/>
    <w:rsid w:val="63AB0448"/>
    <w:rsid w:val="654C108E"/>
    <w:rsid w:val="65665BE1"/>
    <w:rsid w:val="65B018EC"/>
    <w:rsid w:val="67DE50FE"/>
    <w:rsid w:val="687A0601"/>
    <w:rsid w:val="69711792"/>
    <w:rsid w:val="69DE1B58"/>
    <w:rsid w:val="6A2179F4"/>
    <w:rsid w:val="6B68217F"/>
    <w:rsid w:val="6C932F77"/>
    <w:rsid w:val="6DDA49A5"/>
    <w:rsid w:val="6DE50449"/>
    <w:rsid w:val="6F3831F6"/>
    <w:rsid w:val="700B5410"/>
    <w:rsid w:val="709219E2"/>
    <w:rsid w:val="72726378"/>
    <w:rsid w:val="74615B61"/>
    <w:rsid w:val="758E7CB5"/>
    <w:rsid w:val="765D7089"/>
    <w:rsid w:val="76F64C05"/>
    <w:rsid w:val="77CF1A3F"/>
    <w:rsid w:val="7ADF26A4"/>
    <w:rsid w:val="7B9E5F3B"/>
    <w:rsid w:val="7CE546E4"/>
    <w:rsid w:val="7D653E1F"/>
    <w:rsid w:val="7F227FFB"/>
    <w:rsid w:val="7F4B5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6">
    <w:name w:val="Table Grid"/>
    <w:basedOn w:val="5"/>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da"/>
    <w:basedOn w:val="4"/>
    <w:qFormat/>
    <w:uiPriority w:val="0"/>
  </w:style>
  <w:style w:type="character" w:customStyle="1" w:styleId="8">
    <w:name w:val="fontstyle01"/>
    <w:basedOn w:val="4"/>
    <w:qFormat/>
    <w:uiPriority w:val="0"/>
    <w:rPr>
      <w:rFonts w:hint="eastAsia" w:ascii="宋体" w:hAnsi="宋体" w:eastAsia="宋体" w:cs="宋体"/>
      <w:color w:val="000000"/>
      <w:sz w:val="24"/>
      <w:szCs w:val="24"/>
    </w:rPr>
  </w:style>
  <w:style w:type="paragraph" w:styleId="9">
    <w:name w:val="List Paragraph"/>
    <w:basedOn w:val="1"/>
    <w:unhideWhenUsed/>
    <w:qFormat/>
    <w:uiPriority w:val="99"/>
    <w:pPr>
      <w:ind w:firstLine="420"/>
    </w:pPr>
  </w:style>
  <w:style w:type="character" w:customStyle="1" w:styleId="10">
    <w:name w:val="页眉 Char"/>
    <w:basedOn w:val="4"/>
    <w:link w:val="3"/>
    <w:qFormat/>
    <w:uiPriority w:val="0"/>
    <w:rPr>
      <w:rFonts w:asciiTheme="minorHAnsi" w:hAnsiTheme="minorHAnsi" w:eastAsiaTheme="minorEastAsia" w:cstheme="minorBidi"/>
      <w:kern w:val="2"/>
      <w:sz w:val="18"/>
      <w:szCs w:val="18"/>
    </w:rPr>
  </w:style>
  <w:style w:type="character" w:customStyle="1" w:styleId="11">
    <w:name w:val="页脚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707</Words>
  <Characters>4035</Characters>
  <Lines>33</Lines>
  <Paragraphs>9</Paragraphs>
  <ScaleCrop>false</ScaleCrop>
  <LinksUpToDate>false</LinksUpToDate>
  <CharactersWithSpaces>4733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2017-12-18T00:47:00Z</dcterms:created>
  <dc:creator>ASUSA</dc:creator>
  <cp:lastModifiedBy>admin</cp:lastModifiedBy>
  <dcterms:modified xsi:type="dcterms:W3CDTF">2020-01-06T08:54:11Z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