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Style w:val="17"/>
          <w:rFonts w:ascii="宋体" w:hAnsi="宋体"/>
          <w:color w:val="000000"/>
          <w:sz w:val="24"/>
        </w:rPr>
      </w:pPr>
      <w:r>
        <w:rPr>
          <w:rFonts w:hint="eastAsia" w:ascii="宋体" w:hAnsi="宋体" w:eastAsia="宋体" w:cs="宋体"/>
          <w:sz w:val="24"/>
          <w:szCs w:val="24"/>
        </w:rPr>
        <w:t>股票代码：002043             股票简称：兔宝宝              公告编号：</w:t>
      </w:r>
      <w:r>
        <w:rPr>
          <w:rStyle w:val="17"/>
          <w:rFonts w:hint="eastAsia" w:ascii="宋体" w:hAnsi="宋体"/>
          <w:color w:val="000000"/>
          <w:sz w:val="24"/>
        </w:rPr>
        <w:t>2019-034</w:t>
      </w:r>
    </w:p>
    <w:p>
      <w:pPr>
        <w:spacing w:line="360" w:lineRule="exact"/>
        <w:jc w:val="center"/>
        <w:rPr>
          <w:rFonts w:ascii="黑体" w:hAnsi="黑体" w:eastAsia="黑体" w:cs="Arial"/>
          <w:sz w:val="18"/>
          <w:szCs w:val="18"/>
        </w:rPr>
      </w:pPr>
    </w:p>
    <w:p>
      <w:pPr>
        <w:spacing w:line="340" w:lineRule="exact"/>
        <w:jc w:val="center"/>
        <w:rPr>
          <w:rFonts w:ascii="黑体" w:hAnsi="黑体" w:eastAsia="黑体" w:cs="Arial"/>
          <w:sz w:val="32"/>
          <w:szCs w:val="32"/>
        </w:rPr>
      </w:pPr>
      <w:r>
        <w:rPr>
          <w:rFonts w:hint="eastAsia" w:ascii="黑体" w:hAnsi="黑体" w:eastAsia="黑体" w:cs="Arial"/>
          <w:sz w:val="32"/>
          <w:szCs w:val="32"/>
        </w:rPr>
        <w:t>德华兔宝宝装饰新材股份有限公司</w:t>
      </w:r>
    </w:p>
    <w:p>
      <w:pPr>
        <w:spacing w:beforeLines="50" w:afterLines="50" w:line="340" w:lineRule="exact"/>
        <w:jc w:val="center"/>
        <w:rPr>
          <w:rFonts w:ascii="黑体" w:hAnsi="黑体" w:eastAsia="黑体" w:cs="Arial"/>
          <w:sz w:val="32"/>
          <w:szCs w:val="32"/>
        </w:rPr>
      </w:pPr>
      <w:r>
        <w:rPr>
          <w:rFonts w:hint="eastAsia" w:ascii="黑体" w:hAnsi="黑体" w:eastAsia="黑体" w:cs="Arial"/>
          <w:sz w:val="32"/>
          <w:szCs w:val="32"/>
        </w:rPr>
        <w:t>关于公司签订《收购意向协议》的公告</w:t>
      </w:r>
    </w:p>
    <w:p>
      <w:pPr>
        <w:spacing w:beforeLines="50" w:afterLines="50" w:line="440" w:lineRule="exact"/>
        <w:ind w:firstLine="480" w:firstLineChars="20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numPr>
          <w:ilvl w:val="0"/>
          <w:numId w:val="1"/>
        </w:num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拟对外投资的基本情况</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德华兔宝宝装饰新材股份有限公司（以下简称“兔宝宝”或“公司”）与</w:t>
      </w:r>
      <w:r>
        <w:rPr>
          <w:rFonts w:hint="eastAsia" w:ascii="宋体" w:hAnsi="宋体"/>
          <w:sz w:val="24"/>
          <w:szCs w:val="24"/>
        </w:rPr>
        <w:t>漆勇先生、</w:t>
      </w:r>
      <w:r>
        <w:rPr>
          <w:rFonts w:hint="eastAsia" w:ascii="宋体" w:hAnsi="宋体" w:eastAsia="宋体"/>
          <w:bCs/>
          <w:sz w:val="24"/>
          <w:szCs w:val="24"/>
        </w:rPr>
        <w:t>青岛裕丰汉唐木业有限公司（以下简称“裕丰汉唐”或“标的公司”）于近日签订了《收购意向协议》，公司拟受让漆勇等持有的裕丰汉唐70%股权。</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本次签署的《收购意向协议》仅为双方初步意向，无需公司董事会和股东大会审议。本次交易不构成关联交易，经初步测算，预计也不构成重大资产重组。后续签署正式协议时公司将根据法律法规及《公司章程》的有关规定履行相关决策审批程序。</w:t>
      </w:r>
    </w:p>
    <w:p>
      <w:pPr>
        <w:numPr>
          <w:ilvl w:val="0"/>
          <w:numId w:val="1"/>
        </w:numPr>
        <w:spacing w:line="440" w:lineRule="exact"/>
        <w:ind w:firstLine="482" w:firstLineChars="200"/>
        <w:rPr>
          <w:rFonts w:ascii="宋体" w:hAnsi="宋体" w:eastAsia="宋体"/>
          <w:b/>
          <w:sz w:val="24"/>
          <w:szCs w:val="24"/>
        </w:rPr>
      </w:pPr>
      <w:r>
        <w:rPr>
          <w:rFonts w:hint="eastAsia" w:ascii="宋体" w:hAnsi="宋体" w:eastAsia="宋体"/>
          <w:b/>
          <w:sz w:val="24"/>
          <w:szCs w:val="24"/>
        </w:rPr>
        <w:t>交易对方的情况</w:t>
      </w:r>
    </w:p>
    <w:p>
      <w:pPr>
        <w:spacing w:line="440" w:lineRule="exact"/>
        <w:ind w:firstLine="480" w:firstLineChars="200"/>
        <w:rPr>
          <w:rFonts w:ascii="宋体" w:hAnsi="宋体"/>
          <w:sz w:val="24"/>
          <w:szCs w:val="24"/>
        </w:rPr>
      </w:pPr>
      <w:r>
        <w:rPr>
          <w:rFonts w:hint="eastAsia" w:ascii="宋体" w:hAnsi="宋体"/>
          <w:sz w:val="24"/>
          <w:szCs w:val="24"/>
        </w:rPr>
        <w:t>本次交易的交易对方为</w:t>
      </w:r>
      <w:r>
        <w:rPr>
          <w:rFonts w:hint="eastAsia" w:ascii="宋体" w:hAnsi="宋体" w:eastAsia="宋体"/>
          <w:bCs/>
          <w:sz w:val="24"/>
          <w:szCs w:val="24"/>
        </w:rPr>
        <w:t>裕丰汉唐的所有</w:t>
      </w:r>
      <w:r>
        <w:rPr>
          <w:rFonts w:hint="eastAsia" w:ascii="宋体" w:hAnsi="宋体"/>
          <w:sz w:val="24"/>
          <w:szCs w:val="24"/>
        </w:rPr>
        <w:t>股东。本意向协议仅为与</w:t>
      </w:r>
      <w:r>
        <w:rPr>
          <w:rFonts w:hint="eastAsia" w:ascii="宋体" w:hAnsi="宋体" w:eastAsia="宋体"/>
          <w:bCs/>
          <w:sz w:val="24"/>
          <w:szCs w:val="24"/>
        </w:rPr>
        <w:t>裕丰汉唐</w:t>
      </w:r>
      <w:r>
        <w:rPr>
          <w:rFonts w:hint="eastAsia" w:ascii="宋体" w:hAnsi="宋体"/>
          <w:sz w:val="24"/>
          <w:szCs w:val="24"/>
        </w:rPr>
        <w:t>实控人漆勇先生达成初步意向，漆勇先生直接和间接持有</w:t>
      </w:r>
      <w:r>
        <w:rPr>
          <w:rFonts w:hint="eastAsia" w:ascii="宋体" w:hAnsi="宋体" w:eastAsia="宋体"/>
          <w:bCs/>
          <w:sz w:val="24"/>
          <w:szCs w:val="24"/>
        </w:rPr>
        <w:t>裕丰汉唐73.86%的股份</w:t>
      </w:r>
      <w:r>
        <w:rPr>
          <w:rFonts w:hint="eastAsia" w:ascii="宋体" w:hAnsi="宋体"/>
          <w:sz w:val="24"/>
          <w:szCs w:val="24"/>
        </w:rPr>
        <w:t>。</w:t>
      </w:r>
    </w:p>
    <w:p>
      <w:pPr>
        <w:spacing w:line="440" w:lineRule="exact"/>
        <w:ind w:firstLine="480" w:firstLineChars="200"/>
        <w:rPr>
          <w:rFonts w:ascii="宋体" w:hAnsi="宋体" w:eastAsia="宋体"/>
          <w:bCs/>
          <w:sz w:val="24"/>
          <w:szCs w:val="24"/>
        </w:rPr>
      </w:pPr>
      <w:r>
        <w:rPr>
          <w:rFonts w:hint="eastAsia" w:ascii="宋体" w:hAnsi="宋体"/>
          <w:sz w:val="24"/>
          <w:szCs w:val="24"/>
        </w:rPr>
        <w:t>漆勇，</w:t>
      </w:r>
      <w:r>
        <w:rPr>
          <w:rFonts w:hint="eastAsia" w:ascii="宋体" w:hAnsi="宋体" w:eastAsia="宋体"/>
          <w:bCs/>
          <w:sz w:val="24"/>
          <w:szCs w:val="24"/>
        </w:rPr>
        <w:t>男，1968年生，四川达州人，1990年毕业于厦门大学法律专业。</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1991年-2002年就职于青岛正宇经贸有限公司，2002年成立青岛科瑞迪商贸有限公司运营，2006年成立青岛裕丰汉唐木业有限公司运营至今。</w:t>
      </w:r>
    </w:p>
    <w:p>
      <w:pPr>
        <w:numPr>
          <w:ilvl w:val="0"/>
          <w:numId w:val="1"/>
        </w:numPr>
        <w:spacing w:line="440" w:lineRule="exact"/>
        <w:ind w:firstLine="482" w:firstLineChars="200"/>
        <w:rPr>
          <w:rFonts w:ascii="宋体" w:hAnsi="宋体"/>
          <w:b/>
          <w:sz w:val="24"/>
        </w:rPr>
      </w:pPr>
      <w:r>
        <w:rPr>
          <w:rFonts w:hint="eastAsia" w:ascii="宋体" w:hAnsi="宋体"/>
          <w:b/>
          <w:sz w:val="24"/>
        </w:rPr>
        <w:t>交易标的的情况</w:t>
      </w:r>
    </w:p>
    <w:p>
      <w:pPr>
        <w:spacing w:line="440" w:lineRule="exact"/>
        <w:ind w:firstLine="480" w:firstLineChars="200"/>
        <w:rPr>
          <w:rFonts w:ascii="宋体" w:hAnsi="宋体"/>
          <w:bCs/>
          <w:sz w:val="24"/>
        </w:rPr>
      </w:pPr>
      <w:r>
        <w:rPr>
          <w:rFonts w:hint="eastAsia" w:ascii="宋体" w:hAnsi="宋体"/>
          <w:bCs/>
          <w:sz w:val="24"/>
        </w:rPr>
        <w:t>公司名称：青岛裕丰汉唐木业有限公司</w:t>
      </w:r>
    </w:p>
    <w:p>
      <w:pPr>
        <w:spacing w:line="440" w:lineRule="exact"/>
        <w:ind w:firstLine="480" w:firstLineChars="200"/>
        <w:rPr>
          <w:rFonts w:ascii="宋体" w:hAnsi="宋体"/>
          <w:bCs/>
          <w:sz w:val="24"/>
        </w:rPr>
      </w:pPr>
      <w:r>
        <w:rPr>
          <w:rFonts w:ascii="宋体" w:hAnsi="宋体"/>
          <w:bCs/>
          <w:sz w:val="24"/>
        </w:rPr>
        <w:t>统一社会信用代码</w:t>
      </w:r>
      <w:r>
        <w:rPr>
          <w:rFonts w:hint="eastAsia" w:ascii="宋体" w:hAnsi="宋体"/>
          <w:bCs/>
          <w:sz w:val="24"/>
        </w:rPr>
        <w:t>：91370214790828071J</w:t>
      </w:r>
    </w:p>
    <w:p>
      <w:pPr>
        <w:spacing w:line="440" w:lineRule="exact"/>
        <w:ind w:firstLine="480" w:firstLineChars="200"/>
        <w:rPr>
          <w:rFonts w:ascii="宋体" w:hAnsi="宋体"/>
          <w:bCs/>
          <w:sz w:val="24"/>
        </w:rPr>
      </w:pPr>
      <w:r>
        <w:rPr>
          <w:rFonts w:hint="eastAsia" w:ascii="宋体" w:hAnsi="宋体"/>
          <w:bCs/>
          <w:sz w:val="24"/>
        </w:rPr>
        <w:t>法定代表人：漆勇</w:t>
      </w:r>
    </w:p>
    <w:p>
      <w:pPr>
        <w:spacing w:line="440" w:lineRule="exact"/>
        <w:ind w:firstLine="480" w:firstLineChars="200"/>
        <w:rPr>
          <w:rFonts w:ascii="宋体" w:hAnsi="宋体"/>
          <w:bCs/>
          <w:sz w:val="24"/>
        </w:rPr>
      </w:pPr>
      <w:r>
        <w:rPr>
          <w:rFonts w:hint="eastAsia" w:ascii="宋体" w:hAnsi="宋体"/>
          <w:bCs/>
          <w:sz w:val="24"/>
        </w:rPr>
        <w:t>注册资本：8169.82万元</w:t>
      </w:r>
    </w:p>
    <w:p>
      <w:pPr>
        <w:spacing w:line="440" w:lineRule="exact"/>
        <w:ind w:firstLine="480" w:firstLineChars="200"/>
        <w:rPr>
          <w:rFonts w:ascii="宋体" w:hAnsi="宋体"/>
          <w:bCs/>
          <w:sz w:val="24"/>
        </w:rPr>
      </w:pPr>
      <w:r>
        <w:rPr>
          <w:rFonts w:hint="eastAsia" w:ascii="宋体" w:hAnsi="宋体"/>
          <w:bCs/>
          <w:sz w:val="24"/>
        </w:rPr>
        <w:t>公司类型：其他有限责任公司</w:t>
      </w:r>
    </w:p>
    <w:p>
      <w:pPr>
        <w:spacing w:line="440" w:lineRule="exact"/>
        <w:ind w:firstLine="480" w:firstLineChars="200"/>
        <w:rPr>
          <w:rFonts w:ascii="宋体" w:hAnsi="宋体"/>
          <w:bCs/>
          <w:sz w:val="24"/>
        </w:rPr>
      </w:pPr>
      <w:r>
        <w:rPr>
          <w:rFonts w:hint="eastAsia" w:ascii="宋体" w:hAnsi="宋体"/>
          <w:bCs/>
          <w:sz w:val="24"/>
        </w:rPr>
        <w:t>成立日期：2006年9月1日</w:t>
      </w:r>
    </w:p>
    <w:p>
      <w:pPr>
        <w:spacing w:line="440" w:lineRule="exact"/>
        <w:ind w:firstLine="480" w:firstLineChars="200"/>
        <w:rPr>
          <w:rFonts w:ascii="宋体" w:hAnsi="宋体"/>
          <w:bCs/>
          <w:sz w:val="24"/>
        </w:rPr>
      </w:pPr>
      <w:r>
        <w:rPr>
          <w:rFonts w:hint="eastAsia" w:ascii="宋体" w:hAnsi="宋体"/>
          <w:bCs/>
          <w:sz w:val="24"/>
        </w:rPr>
        <w:t>注册地址：青岛市城阳区夏庄街道东古镇社区</w:t>
      </w:r>
    </w:p>
    <w:p>
      <w:pPr>
        <w:spacing w:line="440" w:lineRule="exact"/>
        <w:ind w:firstLine="480" w:firstLineChars="200"/>
        <w:rPr>
          <w:rFonts w:ascii="宋体" w:hAnsi="宋体"/>
          <w:bCs/>
          <w:sz w:val="24"/>
        </w:rPr>
      </w:pPr>
      <w:r>
        <w:rPr>
          <w:rFonts w:hint="eastAsia" w:ascii="宋体" w:hAnsi="宋体"/>
          <w:bCs/>
          <w:sz w:val="24"/>
        </w:rPr>
        <w:t>经营范围：设计、生产、安装：家具、门、地板、装饰材料、橱柜；批发、零售：家用电器、五金件、装饰材料；建筑装修装饰工程的施工（凭资质经营）。（依法须经批准的项目，经相关部门批准后方可开展经营活动）。</w:t>
      </w:r>
    </w:p>
    <w:p>
      <w:pPr>
        <w:numPr>
          <w:ilvl w:val="0"/>
          <w:numId w:val="1"/>
        </w:numPr>
        <w:spacing w:line="440" w:lineRule="exact"/>
        <w:ind w:firstLine="482" w:firstLineChars="200"/>
        <w:rPr>
          <w:rFonts w:ascii="宋体" w:hAnsi="宋体" w:eastAsia="宋体"/>
          <w:b/>
          <w:sz w:val="24"/>
          <w:szCs w:val="24"/>
        </w:rPr>
      </w:pPr>
      <w:r>
        <w:rPr>
          <w:rFonts w:hint="eastAsia" w:ascii="宋体" w:hAnsi="宋体" w:eastAsia="宋体"/>
          <w:b/>
          <w:sz w:val="24"/>
          <w:szCs w:val="24"/>
        </w:rPr>
        <w:t>《收购意向协议》的主要内容</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甲方：兔宝宝</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乙方：漆勇</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丙方：裕丰汉唐</w:t>
      </w:r>
    </w:p>
    <w:p>
      <w:pPr>
        <w:spacing w:line="440" w:lineRule="exact"/>
        <w:ind w:firstLine="480" w:firstLineChars="200"/>
        <w:rPr>
          <w:rFonts w:ascii="宋体" w:hAnsi="宋体" w:eastAsia="宋体"/>
          <w:bCs/>
          <w:sz w:val="24"/>
          <w:szCs w:val="24"/>
        </w:rPr>
      </w:pPr>
      <w:r>
        <w:rPr>
          <w:rFonts w:ascii="宋体" w:hAnsi="宋体" w:eastAsia="宋体"/>
          <w:bCs/>
          <w:sz w:val="24"/>
          <w:szCs w:val="24"/>
        </w:rPr>
        <w:t>鉴于甲方是家居行业领先的上市公司，丙方为家居行业的优秀企业，乙方为丙方的控股股东及实际控制人。甲方有意对丙方进行收购，并开展全方位合作，以实现共赢。经友好协商，各方就</w:t>
      </w:r>
      <w:r>
        <w:rPr>
          <w:rFonts w:hint="eastAsia" w:ascii="宋体" w:hAnsi="宋体" w:eastAsia="宋体"/>
          <w:bCs/>
          <w:sz w:val="24"/>
          <w:szCs w:val="24"/>
        </w:rPr>
        <w:t>本次股权</w:t>
      </w:r>
      <w:r>
        <w:rPr>
          <w:rFonts w:ascii="宋体" w:hAnsi="宋体" w:eastAsia="宋体"/>
          <w:bCs/>
          <w:sz w:val="24"/>
          <w:szCs w:val="24"/>
        </w:rPr>
        <w:t>收购事项达成初步意向，签订本意向协议予以约定：</w:t>
      </w:r>
    </w:p>
    <w:p>
      <w:pPr>
        <w:numPr>
          <w:ilvl w:val="0"/>
          <w:numId w:val="2"/>
        </w:numPr>
        <w:spacing w:line="440" w:lineRule="exact"/>
        <w:ind w:firstLine="480" w:firstLineChars="200"/>
        <w:rPr>
          <w:rFonts w:ascii="宋体" w:hAnsi="宋体" w:eastAsia="宋体"/>
          <w:bCs/>
          <w:sz w:val="24"/>
          <w:szCs w:val="24"/>
        </w:rPr>
      </w:pPr>
      <w:r>
        <w:rPr>
          <w:rFonts w:ascii="宋体" w:hAnsi="宋体" w:eastAsia="宋体"/>
          <w:bCs/>
          <w:sz w:val="24"/>
          <w:szCs w:val="24"/>
        </w:rPr>
        <w:t>收购事项</w:t>
      </w:r>
    </w:p>
    <w:p>
      <w:pPr>
        <w:spacing w:line="440" w:lineRule="exact"/>
        <w:ind w:firstLine="480" w:firstLineChars="200"/>
        <w:rPr>
          <w:rFonts w:ascii="宋体" w:hAnsi="宋体" w:eastAsia="宋体"/>
          <w:bCs/>
          <w:sz w:val="24"/>
          <w:szCs w:val="24"/>
          <w:lang w:val="zh-TW" w:eastAsia="zh-TW"/>
        </w:rPr>
      </w:pPr>
      <w:r>
        <w:rPr>
          <w:rFonts w:hint="eastAsia" w:ascii="宋体" w:hAnsi="宋体" w:eastAsia="宋体"/>
          <w:bCs/>
          <w:sz w:val="24"/>
          <w:szCs w:val="24"/>
        </w:rPr>
        <w:t>1.1甲方及关联方有意收购乙方及交易标的公司其他股东所持有的总计70%股权（以下简称“标的股权”）。</w:t>
      </w:r>
      <w:r>
        <w:rPr>
          <w:rFonts w:hint="eastAsia" w:ascii="宋体" w:hAnsi="宋体" w:eastAsia="宋体"/>
          <w:bCs/>
          <w:sz w:val="24"/>
          <w:szCs w:val="24"/>
          <w:lang w:val="zh-TW" w:eastAsia="zh-TW"/>
        </w:rPr>
        <w:t>标的股权中包含青岛海都青松创业投资合伙企业(有限合伙)、青岛松祥股权投资合伙企业(有限合伙) 、德清兔宝宝金鼎资产管理合伙企业(有限合伙)及王立新（本协议中合称为“战略股东”）四者持有的各自的全部公司股权，总计13.09%，以及除战略股东外的其他所有公司股东（除战略股东外的所有公司股东合称为“治理股东”）合计持有的总计的56.91%的公司股权。</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.2</w:t>
      </w:r>
      <w:r>
        <w:rPr>
          <w:rFonts w:hint="eastAsia" w:ascii="宋体" w:hAnsi="宋体" w:eastAsia="宋体"/>
          <w:bCs/>
          <w:sz w:val="24"/>
          <w:szCs w:val="24"/>
        </w:rPr>
        <w:t>本次收购的公司整体估值为1</w:t>
      </w:r>
      <w:r>
        <w:rPr>
          <w:rFonts w:ascii="宋体" w:hAnsi="宋体" w:eastAsia="宋体"/>
          <w:bCs/>
          <w:sz w:val="24"/>
          <w:szCs w:val="24"/>
        </w:rPr>
        <w:t>0</w:t>
      </w:r>
      <w:r>
        <w:rPr>
          <w:rFonts w:hint="eastAsia" w:ascii="宋体" w:hAnsi="宋体" w:eastAsia="宋体"/>
          <w:bCs/>
          <w:sz w:val="24"/>
          <w:szCs w:val="24"/>
        </w:rPr>
        <w:t>亿元人民币。前述估值为各方根据乙方及丙方提供的公司资产及盈利情况预算的预计估值，最终估值将结合评估结果在正式收购协议中确定。交易对价总额为7亿元人民币。</w:t>
      </w:r>
    </w:p>
    <w:p>
      <w:pPr>
        <w:spacing w:line="440" w:lineRule="exact"/>
        <w:ind w:firstLine="567"/>
        <w:jc w:val="left"/>
        <w:rPr>
          <w:rFonts w:ascii="宋体" w:hAnsi="宋体" w:eastAsia="宋体" w:cs="宋体"/>
          <w:sz w:val="24"/>
          <w:szCs w:val="24"/>
        </w:rPr>
      </w:pPr>
      <w:r>
        <w:rPr>
          <w:rFonts w:hint="eastAsia" w:ascii="宋体" w:hAnsi="宋体" w:eastAsia="宋体"/>
          <w:bCs/>
          <w:sz w:val="24"/>
          <w:szCs w:val="24"/>
        </w:rPr>
        <w:t>1.3</w:t>
      </w:r>
      <w:r>
        <w:rPr>
          <w:rFonts w:hint="eastAsia" w:ascii="宋体" w:hAnsi="宋体" w:eastAsia="宋体" w:cs="宋体"/>
          <w:sz w:val="24"/>
          <w:szCs w:val="24"/>
        </w:rPr>
        <w:t>交易对价购买股票的约定</w:t>
      </w:r>
    </w:p>
    <w:p>
      <w:pPr>
        <w:spacing w:line="440" w:lineRule="exact"/>
        <w:ind w:firstLine="567"/>
        <w:rPr>
          <w:rFonts w:ascii="宋体" w:hAnsi="宋体" w:eastAsia="宋体" w:cs="宋体"/>
          <w:sz w:val="24"/>
          <w:szCs w:val="24"/>
        </w:rPr>
      </w:pPr>
      <w:r>
        <w:rPr>
          <w:rFonts w:hint="eastAsia" w:ascii="宋体" w:hAnsi="宋体" w:eastAsia="宋体" w:cs="宋体"/>
          <w:sz w:val="24"/>
          <w:szCs w:val="24"/>
        </w:rPr>
        <w:t>除战略股东外的所有公司股东，即所有治理股东，应在收到各自对应的全部交易对价后将各自交易对价扣除相关税费之后的余额的至少70%部分用于购买甲方的股票（以下称“股票交易”）。购买方式为二级市场直接购买以及大宗交易转让等。</w:t>
      </w:r>
    </w:p>
    <w:p>
      <w:pPr>
        <w:spacing w:line="440" w:lineRule="exact"/>
        <w:ind w:firstLine="567"/>
        <w:rPr>
          <w:rFonts w:ascii="宋体" w:hAnsi="宋体" w:eastAsia="宋体" w:cs="宋体"/>
          <w:bCs/>
          <w:sz w:val="24"/>
          <w:szCs w:val="24"/>
        </w:rPr>
      </w:pPr>
      <w:r>
        <w:rPr>
          <w:rFonts w:hint="eastAsia" w:ascii="宋体" w:hAnsi="宋体" w:eastAsia="宋体" w:cs="宋体"/>
          <w:bCs/>
          <w:sz w:val="24"/>
          <w:szCs w:val="24"/>
        </w:rPr>
        <w:t>1.4业绩承诺</w:t>
      </w:r>
    </w:p>
    <w:p>
      <w:pPr>
        <w:spacing w:line="440" w:lineRule="exact"/>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乙方及治理股东向甲方承诺：丙方2019年度、2020年度和2021年度实现的净利润分别不低于7,000万元人民币、10,500万元人民币、14,000万元人民币。实际净利润以经甲方认可的具有证券从业资格的会计师事务所审计后的报表为准。</w:t>
      </w:r>
    </w:p>
    <w:p>
      <w:pPr>
        <w:spacing w:line="440" w:lineRule="exact"/>
        <w:ind w:firstLine="566"/>
        <w:rPr>
          <w:rFonts w:ascii="宋体" w:hAnsi="宋体" w:eastAsia="宋体" w:cs="宋体"/>
          <w:sz w:val="24"/>
          <w:szCs w:val="24"/>
        </w:rPr>
      </w:pPr>
      <w:r>
        <w:rPr>
          <w:rFonts w:hint="eastAsia" w:ascii="宋体" w:hAnsi="宋体" w:eastAsia="宋体" w:cs="宋体"/>
          <w:sz w:val="24"/>
          <w:szCs w:val="24"/>
        </w:rPr>
        <w:t>1.5锁定期</w:t>
      </w:r>
    </w:p>
    <w:p>
      <w:pPr>
        <w:spacing w:line="440" w:lineRule="exact"/>
        <w:ind w:firstLine="567"/>
        <w:rPr>
          <w:rFonts w:ascii="宋体" w:hAnsi="宋体" w:eastAsia="宋体" w:cs="宋体"/>
          <w:sz w:val="24"/>
          <w:szCs w:val="24"/>
        </w:rPr>
      </w:pPr>
      <w:r>
        <w:rPr>
          <w:rFonts w:hint="eastAsia" w:ascii="宋体" w:hAnsi="宋体" w:eastAsia="宋体" w:cs="宋体"/>
          <w:sz w:val="24"/>
          <w:szCs w:val="24"/>
        </w:rPr>
        <w:t>治理股东基于完成本协议约定的股票交易后取得的每一期甲方股票自该期股票取得之日起36个月内不得进行转让，且持有期间不得设定股份质押或其他权利限制。但治理股东因未完成本协议约定的承诺净利润而出售对应部分股票并将股票出售款用于向甲方支付补偿款的除外。</w:t>
      </w:r>
    </w:p>
    <w:p>
      <w:pPr>
        <w:spacing w:line="440" w:lineRule="exact"/>
        <w:ind w:firstLine="567"/>
        <w:rPr>
          <w:rFonts w:ascii="宋体" w:hAnsi="宋体" w:eastAsia="宋体" w:cs="宋体"/>
          <w:sz w:val="24"/>
          <w:szCs w:val="24"/>
        </w:rPr>
      </w:pPr>
      <w:r>
        <w:rPr>
          <w:rFonts w:hint="eastAsia" w:ascii="宋体" w:hAnsi="宋体" w:eastAsia="宋体" w:cs="宋体"/>
          <w:sz w:val="24"/>
          <w:szCs w:val="24"/>
        </w:rPr>
        <w:t>1.6排他期</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乙方和丙方给予甲方3个月的排他期（自本协议签署之日算起），在排他期之内乙方和丙方承诺不与其他投资方或收购方就投资或收购事项进行洽谈磋商，也不接受其他投资方或收购方的尽职调查和投资收购沟通。</w:t>
      </w:r>
    </w:p>
    <w:p>
      <w:pPr>
        <w:numPr>
          <w:ilvl w:val="0"/>
          <w:numId w:val="2"/>
        </w:numPr>
        <w:spacing w:line="440" w:lineRule="exact"/>
        <w:ind w:firstLine="480" w:firstLineChars="200"/>
        <w:rPr>
          <w:rFonts w:ascii="宋体" w:hAnsi="宋体" w:eastAsia="宋体"/>
          <w:bCs/>
          <w:sz w:val="24"/>
          <w:szCs w:val="24"/>
        </w:rPr>
      </w:pPr>
      <w:r>
        <w:rPr>
          <w:rFonts w:hint="eastAsia" w:ascii="宋体" w:hAnsi="宋体" w:eastAsia="宋体"/>
          <w:bCs/>
          <w:sz w:val="24"/>
          <w:szCs w:val="24"/>
        </w:rPr>
        <w:t>程序性事项</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2.1本意向协议代表了双方就收购事项进行合作的初步意向，除保密措施等条款约定外，本意向书不是具有约束力或可强制履行的协议或项目合同，也不在各方之间设定实施任何行为的义务，无论该行为是否在本意向书中明确规定应实施还是拟实施。</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 xml:space="preserve">2.2意向协议签订后，双方应本着真诚合作的原则积极推进，各方应就相关进展及时进行沟通和磋商。各方具体权利义务以正式协议为准。 </w:t>
      </w:r>
    </w:p>
    <w:p>
      <w:pPr>
        <w:numPr>
          <w:ilvl w:val="0"/>
          <w:numId w:val="1"/>
        </w:numPr>
        <w:spacing w:line="440" w:lineRule="exact"/>
        <w:ind w:firstLine="482" w:firstLineChars="200"/>
        <w:rPr>
          <w:rFonts w:ascii="宋体" w:hAnsi="宋体" w:eastAsia="宋体"/>
          <w:b/>
          <w:sz w:val="24"/>
          <w:szCs w:val="24"/>
        </w:rPr>
      </w:pPr>
      <w:r>
        <w:rPr>
          <w:rFonts w:hint="eastAsia" w:ascii="宋体" w:hAnsi="宋体" w:eastAsia="宋体"/>
          <w:b/>
          <w:sz w:val="24"/>
          <w:szCs w:val="24"/>
        </w:rPr>
        <w:t>收购目的及对上市公司的影响</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当前，我国房地产全装修比例不足30%，毛坯房装修会带来较大的二次污染、资源浪费和拆改造成的结构安全隐患等一系列问题，为此，近年来国家大力推动房屋全装修政策，房地产龙头企业、地方政府等极力响应，各地推出一系列的鼓励政策和强制性要求，全装修将成为未来发展的必然趋势，发展空间巨大。公司作为后房地产市场的家居装饰材料企业，需积极面对市场需求变化，加强全装修工程业务领域的布局，提升公司综合竞争力。</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裕丰汉唐的主营业务是为房地产全装修业务提供木作产品的设计、生产、安装、服务的一站式专业解决方案，产品系列主要涵盖整体厨房、衣柜、卫浴柜、玄关柜、衣帽间等。裕丰汉唐是目前国内房地产精装修工程业务领域的优秀企业，主要战略合作方为万科、融创、泰禾、新城、龙湖等房地产龙头企业，是万科等房企的A、B级供应商。此次收购有利于公司在现有零售渠道领域的基础上，进一步加强精装修工程领域的业务拓展能力，促进公司在家居装饰综合服务的全面布局，对公司的远期战略实现将产生积极而深远的影响。</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本次交易不会造成公司主营业务变化，亦不存在损害公司及股东利益的情形。</w:t>
      </w:r>
    </w:p>
    <w:p>
      <w:pPr>
        <w:numPr>
          <w:ilvl w:val="0"/>
          <w:numId w:val="1"/>
        </w:numPr>
        <w:spacing w:line="440" w:lineRule="exact"/>
        <w:ind w:firstLine="482" w:firstLineChars="200"/>
        <w:rPr>
          <w:rFonts w:ascii="宋体" w:hAnsi="宋体" w:eastAsia="宋体"/>
          <w:b/>
          <w:sz w:val="24"/>
          <w:szCs w:val="24"/>
        </w:rPr>
      </w:pPr>
      <w:r>
        <w:rPr>
          <w:rFonts w:hint="eastAsia" w:ascii="宋体" w:hAnsi="宋体" w:eastAsia="宋体"/>
          <w:b/>
          <w:sz w:val="24"/>
          <w:szCs w:val="24"/>
        </w:rPr>
        <w:t>重大风险提示</w:t>
      </w:r>
    </w:p>
    <w:p>
      <w:pPr>
        <w:spacing w:line="440" w:lineRule="exact"/>
        <w:ind w:firstLine="480" w:firstLineChars="200"/>
        <w:rPr>
          <w:rFonts w:hint="eastAsia" w:ascii="宋体" w:hAnsi="宋体" w:eastAsia="宋体"/>
          <w:bCs/>
          <w:sz w:val="24"/>
          <w:szCs w:val="24"/>
        </w:rPr>
      </w:pPr>
      <w:r>
        <w:rPr>
          <w:rFonts w:hint="eastAsia" w:ascii="宋体" w:hAnsi="宋体" w:eastAsia="宋体"/>
          <w:bCs/>
          <w:sz w:val="24"/>
          <w:szCs w:val="24"/>
        </w:rPr>
        <w:t>本次签署的《收购意向协议》仅为双方根据合作意向，经友好协商达成的战略性、框架性约定，本意向协议所涉及的具体合作事宜尚需合作双方进一步沟通和落实。公司将按照公司《章程》及相关法律、法规、规范性文件的规定，履行相应的决策和审批程序并披露相关信息。</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lang w:val="en-US" w:eastAsia="zh-CN"/>
        </w:rPr>
        <w:t>本次</w:t>
      </w:r>
      <w:bookmarkStart w:id="0" w:name="_GoBack"/>
      <w:bookmarkEnd w:id="0"/>
      <w:r>
        <w:rPr>
          <w:rFonts w:hint="eastAsia" w:ascii="宋体" w:hAnsi="宋体" w:eastAsia="宋体"/>
          <w:bCs/>
          <w:sz w:val="24"/>
          <w:szCs w:val="24"/>
          <w:lang w:val="en-US" w:eastAsia="zh-CN"/>
        </w:rPr>
        <w:t>股权收购事项尚存在一定的不确定性</w:t>
      </w:r>
      <w:r>
        <w:rPr>
          <w:rFonts w:hint="eastAsia" w:ascii="宋体" w:hAnsi="宋体" w:eastAsia="宋体"/>
          <w:bCs/>
          <w:sz w:val="24"/>
          <w:szCs w:val="24"/>
        </w:rPr>
        <w:t>，敬请</w:t>
      </w:r>
      <w:r>
        <w:rPr>
          <w:rFonts w:hint="eastAsia" w:ascii="宋体" w:hAnsi="宋体" w:eastAsia="宋体"/>
          <w:bCs/>
          <w:sz w:val="24"/>
          <w:szCs w:val="24"/>
        </w:rPr>
        <w:t>投资者注意投资风险。</w:t>
      </w:r>
    </w:p>
    <w:p>
      <w:pPr>
        <w:numPr>
          <w:ilvl w:val="0"/>
          <w:numId w:val="1"/>
        </w:numPr>
        <w:spacing w:line="440" w:lineRule="exact"/>
        <w:ind w:firstLine="482" w:firstLineChars="200"/>
        <w:rPr>
          <w:rFonts w:ascii="宋体" w:hAnsi="宋体" w:eastAsia="宋体"/>
          <w:b/>
          <w:sz w:val="24"/>
          <w:szCs w:val="24"/>
        </w:rPr>
      </w:pPr>
      <w:r>
        <w:rPr>
          <w:rFonts w:hint="eastAsia" w:ascii="宋体" w:hAnsi="宋体" w:eastAsia="宋体"/>
          <w:b/>
          <w:sz w:val="24"/>
          <w:szCs w:val="24"/>
        </w:rPr>
        <w:t>备查文件</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《收购意向协议》。</w:t>
      </w:r>
    </w:p>
    <w:p>
      <w:pPr>
        <w:spacing w:afterLines="50" w:line="440" w:lineRule="exact"/>
        <w:ind w:firstLine="480" w:firstLineChars="200"/>
        <w:rPr>
          <w:rFonts w:ascii="宋体" w:hAnsi="宋体" w:eastAsia="宋体"/>
          <w:bCs/>
          <w:sz w:val="24"/>
          <w:szCs w:val="24"/>
        </w:rPr>
      </w:pPr>
      <w:r>
        <w:rPr>
          <w:rFonts w:hint="eastAsia" w:ascii="宋体" w:hAnsi="宋体" w:eastAsia="宋体"/>
          <w:bCs/>
          <w:sz w:val="24"/>
          <w:szCs w:val="24"/>
        </w:rPr>
        <w:t>特此公告。</w:t>
      </w:r>
    </w:p>
    <w:p>
      <w:pPr>
        <w:spacing w:line="440" w:lineRule="exact"/>
        <w:ind w:firstLine="480" w:firstLineChars="200"/>
        <w:jc w:val="center"/>
        <w:rPr>
          <w:rFonts w:ascii="宋体" w:hAnsi="宋体"/>
          <w:bCs/>
          <w:sz w:val="24"/>
        </w:rPr>
      </w:pPr>
      <w:r>
        <w:rPr>
          <w:rFonts w:hint="eastAsia" w:ascii="宋体" w:hAnsi="宋体"/>
          <w:bCs/>
          <w:sz w:val="24"/>
        </w:rPr>
        <w:t xml:space="preserve">                                  德华兔宝宝装饰新材股份有限公司</w:t>
      </w:r>
    </w:p>
    <w:p>
      <w:pPr>
        <w:spacing w:line="440" w:lineRule="exact"/>
        <w:ind w:firstLine="480" w:firstLineChars="200"/>
        <w:jc w:val="center"/>
        <w:rPr>
          <w:rFonts w:ascii="宋体" w:hAnsi="宋体"/>
          <w:bCs/>
          <w:sz w:val="24"/>
        </w:rPr>
      </w:pPr>
      <w:r>
        <w:rPr>
          <w:rFonts w:hint="eastAsia" w:ascii="宋体" w:hAnsi="宋体"/>
          <w:bCs/>
          <w:sz w:val="24"/>
        </w:rPr>
        <w:t xml:space="preserve">                                   董 事 会</w:t>
      </w:r>
    </w:p>
    <w:p>
      <w:pPr>
        <w:spacing w:line="440" w:lineRule="exact"/>
        <w:ind w:firstLine="480" w:firstLineChars="200"/>
        <w:jc w:val="center"/>
        <w:rPr>
          <w:rFonts w:ascii="宋体" w:hAnsi="宋体"/>
          <w:bCs/>
          <w:sz w:val="24"/>
        </w:rPr>
      </w:pPr>
      <w:r>
        <w:rPr>
          <w:rFonts w:hint="eastAsia" w:ascii="宋体" w:hAnsi="宋体"/>
          <w:bCs/>
          <w:sz w:val="24"/>
        </w:rPr>
        <w:t xml:space="preserve">                                   2019年</w:t>
      </w:r>
      <w:r>
        <w:rPr>
          <w:rFonts w:hint="eastAsia" w:ascii="宋体" w:hAnsi="宋体"/>
          <w:bCs/>
          <w:sz w:val="24"/>
          <w:lang w:val="en-US" w:eastAsia="zh-CN"/>
        </w:rPr>
        <w:t>7</w:t>
      </w:r>
      <w:r>
        <w:rPr>
          <w:rFonts w:hint="eastAsia" w:ascii="宋体" w:hAnsi="宋体"/>
          <w:bCs/>
          <w:sz w:val="24"/>
        </w:rPr>
        <w:t>月</w:t>
      </w:r>
      <w:r>
        <w:rPr>
          <w:rFonts w:hint="eastAsia" w:ascii="宋体" w:hAnsi="宋体"/>
          <w:bCs/>
          <w:sz w:val="24"/>
          <w:lang w:val="en-US" w:eastAsia="zh-CN"/>
        </w:rPr>
        <w:t>2</w:t>
      </w:r>
      <w:r>
        <w:rPr>
          <w:rFonts w:hint="eastAsia" w:ascii="宋体" w:hAnsi="宋体"/>
          <w:bCs/>
          <w:sz w:val="24"/>
        </w:rPr>
        <w:t>日</w:t>
      </w:r>
    </w:p>
    <w:sectPr>
      <w:pgSz w:w="11906" w:h="16838"/>
      <w:pgMar w:top="1247" w:right="1191" w:bottom="1247"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1BF60"/>
    <w:multiLevelType w:val="singleLevel"/>
    <w:tmpl w:val="9A51BF60"/>
    <w:lvl w:ilvl="0" w:tentative="0">
      <w:start w:val="1"/>
      <w:numFmt w:val="chineseCounting"/>
      <w:suff w:val="nothing"/>
      <w:lvlText w:val="%1、"/>
      <w:lvlJc w:val="left"/>
      <w:rPr>
        <w:rFonts w:hint="eastAsia"/>
      </w:rPr>
    </w:lvl>
  </w:abstractNum>
  <w:abstractNum w:abstractNumId="1">
    <w:nsid w:val="45F83793"/>
    <w:multiLevelType w:val="singleLevel"/>
    <w:tmpl w:val="45F83793"/>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572962"/>
    <w:rsid w:val="000F2B3B"/>
    <w:rsid w:val="00174660"/>
    <w:rsid w:val="001A68E6"/>
    <w:rsid w:val="001F239F"/>
    <w:rsid w:val="0027333F"/>
    <w:rsid w:val="0029019B"/>
    <w:rsid w:val="002D53EB"/>
    <w:rsid w:val="00391D22"/>
    <w:rsid w:val="00413831"/>
    <w:rsid w:val="00563123"/>
    <w:rsid w:val="006143D4"/>
    <w:rsid w:val="006E4C0E"/>
    <w:rsid w:val="00773A14"/>
    <w:rsid w:val="00807E48"/>
    <w:rsid w:val="00815C1D"/>
    <w:rsid w:val="009A7518"/>
    <w:rsid w:val="00A04C38"/>
    <w:rsid w:val="00A74476"/>
    <w:rsid w:val="00AF4AB0"/>
    <w:rsid w:val="00B01CEC"/>
    <w:rsid w:val="00BC3BF9"/>
    <w:rsid w:val="00D8613B"/>
    <w:rsid w:val="00DC6271"/>
    <w:rsid w:val="00E83F5C"/>
    <w:rsid w:val="00F45091"/>
    <w:rsid w:val="00F45C1A"/>
    <w:rsid w:val="018A55CB"/>
    <w:rsid w:val="0317455D"/>
    <w:rsid w:val="03442E8E"/>
    <w:rsid w:val="03A20CC9"/>
    <w:rsid w:val="03A656EC"/>
    <w:rsid w:val="03BB5A51"/>
    <w:rsid w:val="049512CF"/>
    <w:rsid w:val="07A55AB3"/>
    <w:rsid w:val="081A1FF1"/>
    <w:rsid w:val="08CE7B62"/>
    <w:rsid w:val="0A2E47B7"/>
    <w:rsid w:val="0AC1478A"/>
    <w:rsid w:val="0BE456C0"/>
    <w:rsid w:val="0E7E1703"/>
    <w:rsid w:val="0EF46344"/>
    <w:rsid w:val="0F0C145B"/>
    <w:rsid w:val="0FC242BF"/>
    <w:rsid w:val="125824A0"/>
    <w:rsid w:val="12A91B62"/>
    <w:rsid w:val="15602083"/>
    <w:rsid w:val="156E25F9"/>
    <w:rsid w:val="161566C4"/>
    <w:rsid w:val="16C976E5"/>
    <w:rsid w:val="1852335D"/>
    <w:rsid w:val="18691AD8"/>
    <w:rsid w:val="189E36FF"/>
    <w:rsid w:val="18E34A7F"/>
    <w:rsid w:val="19F21F6C"/>
    <w:rsid w:val="1AD86573"/>
    <w:rsid w:val="1AF02850"/>
    <w:rsid w:val="1B526A34"/>
    <w:rsid w:val="1B572962"/>
    <w:rsid w:val="1CA66BBE"/>
    <w:rsid w:val="1CA96CFC"/>
    <w:rsid w:val="1DBC5E27"/>
    <w:rsid w:val="1E583759"/>
    <w:rsid w:val="1F0F5D9D"/>
    <w:rsid w:val="1F297326"/>
    <w:rsid w:val="204E19D5"/>
    <w:rsid w:val="20616B6A"/>
    <w:rsid w:val="219F68B0"/>
    <w:rsid w:val="22355D13"/>
    <w:rsid w:val="229561E0"/>
    <w:rsid w:val="22AB56DE"/>
    <w:rsid w:val="23756451"/>
    <w:rsid w:val="23A92E86"/>
    <w:rsid w:val="24186BD0"/>
    <w:rsid w:val="24C07787"/>
    <w:rsid w:val="265929D8"/>
    <w:rsid w:val="266839D9"/>
    <w:rsid w:val="26DD53F1"/>
    <w:rsid w:val="28A325D6"/>
    <w:rsid w:val="28F81C75"/>
    <w:rsid w:val="292C1AD0"/>
    <w:rsid w:val="2962120C"/>
    <w:rsid w:val="29C75CC6"/>
    <w:rsid w:val="2AB77B91"/>
    <w:rsid w:val="2B681349"/>
    <w:rsid w:val="2C566E62"/>
    <w:rsid w:val="2D0520C7"/>
    <w:rsid w:val="2DA92ED6"/>
    <w:rsid w:val="2E86193C"/>
    <w:rsid w:val="2F460A04"/>
    <w:rsid w:val="2FFC0E5E"/>
    <w:rsid w:val="30E516FF"/>
    <w:rsid w:val="31902E8D"/>
    <w:rsid w:val="329B3728"/>
    <w:rsid w:val="338C33E6"/>
    <w:rsid w:val="33C65B2C"/>
    <w:rsid w:val="353C7AED"/>
    <w:rsid w:val="35EB2F5F"/>
    <w:rsid w:val="39E72715"/>
    <w:rsid w:val="3A697BC0"/>
    <w:rsid w:val="3AC665F7"/>
    <w:rsid w:val="3C9E488B"/>
    <w:rsid w:val="3CB848A7"/>
    <w:rsid w:val="3D9B1943"/>
    <w:rsid w:val="3E7435E8"/>
    <w:rsid w:val="40664F20"/>
    <w:rsid w:val="41886918"/>
    <w:rsid w:val="41A16671"/>
    <w:rsid w:val="41DF5468"/>
    <w:rsid w:val="423C0654"/>
    <w:rsid w:val="432F6861"/>
    <w:rsid w:val="43A7196A"/>
    <w:rsid w:val="45E675C8"/>
    <w:rsid w:val="462563D2"/>
    <w:rsid w:val="46CD4168"/>
    <w:rsid w:val="46D93BA0"/>
    <w:rsid w:val="47965C4D"/>
    <w:rsid w:val="48604C55"/>
    <w:rsid w:val="4CC56E86"/>
    <w:rsid w:val="4DD63AEE"/>
    <w:rsid w:val="4E902F9F"/>
    <w:rsid w:val="4F056AD2"/>
    <w:rsid w:val="4FDE0A92"/>
    <w:rsid w:val="50430637"/>
    <w:rsid w:val="517214B3"/>
    <w:rsid w:val="51AF2447"/>
    <w:rsid w:val="548C2614"/>
    <w:rsid w:val="550C3347"/>
    <w:rsid w:val="55C87F09"/>
    <w:rsid w:val="5714796C"/>
    <w:rsid w:val="58F939C0"/>
    <w:rsid w:val="59ED4F69"/>
    <w:rsid w:val="5AAA505D"/>
    <w:rsid w:val="5DF665A3"/>
    <w:rsid w:val="60642D55"/>
    <w:rsid w:val="61802362"/>
    <w:rsid w:val="61F8176A"/>
    <w:rsid w:val="621D030C"/>
    <w:rsid w:val="637A5A63"/>
    <w:rsid w:val="643F1F85"/>
    <w:rsid w:val="662F532A"/>
    <w:rsid w:val="66AF7EB8"/>
    <w:rsid w:val="675F2DDF"/>
    <w:rsid w:val="687C7F46"/>
    <w:rsid w:val="69BA3510"/>
    <w:rsid w:val="69BB07E6"/>
    <w:rsid w:val="6ADF6022"/>
    <w:rsid w:val="6AF60649"/>
    <w:rsid w:val="6B6165D2"/>
    <w:rsid w:val="6CC31137"/>
    <w:rsid w:val="6CF511F3"/>
    <w:rsid w:val="6D535020"/>
    <w:rsid w:val="6FD1690A"/>
    <w:rsid w:val="707E335D"/>
    <w:rsid w:val="712E2B9D"/>
    <w:rsid w:val="71FB5879"/>
    <w:rsid w:val="72527FC4"/>
    <w:rsid w:val="72B76DAC"/>
    <w:rsid w:val="733C7477"/>
    <w:rsid w:val="736A727E"/>
    <w:rsid w:val="739651CC"/>
    <w:rsid w:val="73F04F05"/>
    <w:rsid w:val="75390C27"/>
    <w:rsid w:val="774C06C1"/>
    <w:rsid w:val="782F79A2"/>
    <w:rsid w:val="7A01723B"/>
    <w:rsid w:val="7A1206B7"/>
    <w:rsid w:val="7AC307C2"/>
    <w:rsid w:val="7B3958D2"/>
    <w:rsid w:val="7BBE0614"/>
    <w:rsid w:val="7BDD07EC"/>
    <w:rsid w:val="7C4B336C"/>
    <w:rsid w:val="7D995C1A"/>
    <w:rsid w:val="7E4B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39"/>
    <w:qFormat/>
    <w:uiPriority w:val="0"/>
    <w:pPr>
      <w:tabs>
        <w:tab w:val="center" w:pos="4153"/>
        <w:tab w:val="right" w:pos="8306"/>
      </w:tabs>
      <w:snapToGrid w:val="0"/>
      <w:jc w:val="left"/>
    </w:pPr>
    <w:rPr>
      <w:sz w:val="18"/>
      <w:szCs w:val="18"/>
    </w:rPr>
  </w:style>
  <w:style w:type="paragraph" w:styleId="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3C4144"/>
      <w:u w:val="none"/>
    </w:rPr>
  </w:style>
  <w:style w:type="character" w:styleId="9">
    <w:name w:val="Emphasis"/>
    <w:basedOn w:val="6"/>
    <w:qFormat/>
    <w:uiPriority w:val="0"/>
  </w:style>
  <w:style w:type="character" w:styleId="10">
    <w:name w:val="HTML Definition"/>
    <w:basedOn w:val="6"/>
    <w:qFormat/>
    <w:uiPriority w:val="0"/>
    <w:rPr>
      <w:i/>
    </w:rPr>
  </w:style>
  <w:style w:type="character" w:styleId="11">
    <w:name w:val="Hyperlink"/>
    <w:basedOn w:val="6"/>
    <w:qFormat/>
    <w:uiPriority w:val="0"/>
    <w:rPr>
      <w:color w:val="3C4144"/>
      <w:u w:val="none"/>
    </w:rPr>
  </w:style>
  <w:style w:type="character" w:styleId="12">
    <w:name w:val="HTML Code"/>
    <w:basedOn w:val="6"/>
    <w:qFormat/>
    <w:uiPriority w:val="0"/>
    <w:rPr>
      <w:rFonts w:hint="default" w:ascii="Consolas" w:hAnsi="Consolas" w:eastAsia="Consolas" w:cs="Consolas"/>
      <w:color w:val="C7254E"/>
      <w:sz w:val="21"/>
      <w:szCs w:val="21"/>
      <w:shd w:val="clear" w:color="auto" w:fill="F9F2F4"/>
    </w:rPr>
  </w:style>
  <w:style w:type="character" w:styleId="13">
    <w:name w:val="annotation reference"/>
    <w:unhideWhenUsed/>
    <w:qFormat/>
    <w:uiPriority w:val="99"/>
    <w:rPr>
      <w:sz w:val="21"/>
      <w:szCs w:val="21"/>
    </w:rPr>
  </w:style>
  <w:style w:type="character" w:styleId="14">
    <w:name w:val="HTML Cite"/>
    <w:basedOn w:val="6"/>
    <w:qFormat/>
    <w:uiPriority w:val="0"/>
  </w:style>
  <w:style w:type="character" w:styleId="15">
    <w:name w:val="HTML Keyboard"/>
    <w:basedOn w:val="6"/>
    <w:qFormat/>
    <w:uiPriority w:val="0"/>
    <w:rPr>
      <w:rFonts w:hint="default" w:ascii="Consolas" w:hAnsi="Consolas" w:eastAsia="Consolas" w:cs="Consolas"/>
      <w:color w:val="FFFFFF"/>
      <w:sz w:val="21"/>
      <w:szCs w:val="21"/>
      <w:shd w:val="clear" w:color="auto" w:fill="333333"/>
    </w:rPr>
  </w:style>
  <w:style w:type="character" w:styleId="16">
    <w:name w:val="HTML Sample"/>
    <w:basedOn w:val="6"/>
    <w:qFormat/>
    <w:uiPriority w:val="0"/>
    <w:rPr>
      <w:rFonts w:ascii="Consolas" w:hAnsi="Consolas" w:eastAsia="Consolas" w:cs="Consolas"/>
      <w:sz w:val="21"/>
      <w:szCs w:val="21"/>
    </w:rPr>
  </w:style>
  <w:style w:type="character" w:customStyle="1" w:styleId="17">
    <w:name w:val="da"/>
    <w:basedOn w:val="6"/>
    <w:qFormat/>
    <w:uiPriority w:val="0"/>
  </w:style>
  <w:style w:type="character" w:customStyle="1" w:styleId="18">
    <w:name w:val="edit4"/>
    <w:basedOn w:val="6"/>
    <w:qFormat/>
    <w:uiPriority w:val="0"/>
  </w:style>
  <w:style w:type="character" w:customStyle="1" w:styleId="19">
    <w:name w:val="nc-lang-cnt"/>
    <w:basedOn w:val="6"/>
    <w:qFormat/>
    <w:uiPriority w:val="0"/>
  </w:style>
  <w:style w:type="character" w:customStyle="1" w:styleId="20">
    <w:name w:val="nc-lang-cnt1"/>
    <w:basedOn w:val="6"/>
    <w:qFormat/>
    <w:uiPriority w:val="0"/>
  </w:style>
  <w:style w:type="character" w:customStyle="1" w:styleId="21">
    <w:name w:val="nc-lang-cnt2"/>
    <w:basedOn w:val="6"/>
    <w:qFormat/>
    <w:uiPriority w:val="0"/>
    <w:rPr>
      <w:rtl/>
    </w:rPr>
  </w:style>
  <w:style w:type="character" w:customStyle="1" w:styleId="22">
    <w:name w:val="nc-lang-cnt3"/>
    <w:basedOn w:val="6"/>
    <w:qFormat/>
    <w:uiPriority w:val="0"/>
    <w:rPr>
      <w:rtl/>
    </w:rPr>
  </w:style>
  <w:style w:type="character" w:customStyle="1" w:styleId="23">
    <w:name w:val="nc-lang-cnt4"/>
    <w:basedOn w:val="6"/>
    <w:qFormat/>
    <w:uiPriority w:val="0"/>
    <w:rPr>
      <w:rtl/>
    </w:rPr>
  </w:style>
  <w:style w:type="character" w:customStyle="1" w:styleId="24">
    <w:name w:val="nc-lang-cnt5"/>
    <w:basedOn w:val="6"/>
    <w:qFormat/>
    <w:uiPriority w:val="0"/>
    <w:rPr>
      <w:rtl/>
    </w:rPr>
  </w:style>
  <w:style w:type="character" w:customStyle="1" w:styleId="25">
    <w:name w:val="nc-lang-cnt6"/>
    <w:basedOn w:val="6"/>
    <w:qFormat/>
    <w:uiPriority w:val="0"/>
  </w:style>
  <w:style w:type="character" w:customStyle="1" w:styleId="26">
    <w:name w:val="after"/>
    <w:basedOn w:val="6"/>
    <w:qFormat/>
    <w:uiPriority w:val="0"/>
    <w:rPr>
      <w:shd w:val="clear" w:color="auto" w:fill="FFFFFF"/>
    </w:rPr>
  </w:style>
  <w:style w:type="character" w:customStyle="1" w:styleId="27">
    <w:name w:val="ma_wx"/>
    <w:basedOn w:val="6"/>
    <w:qFormat/>
    <w:uiPriority w:val="0"/>
  </w:style>
  <w:style w:type="character" w:customStyle="1" w:styleId="28">
    <w:name w:val="badge22"/>
    <w:basedOn w:val="6"/>
    <w:qFormat/>
    <w:uiPriority w:val="0"/>
    <w:rPr>
      <w:color w:val="909090"/>
      <w:sz w:val="15"/>
      <w:szCs w:val="15"/>
    </w:rPr>
  </w:style>
  <w:style w:type="character" w:customStyle="1" w:styleId="29">
    <w:name w:val="badge23"/>
    <w:basedOn w:val="6"/>
    <w:qFormat/>
    <w:uiPriority w:val="0"/>
    <w:rPr>
      <w:shd w:val="clear" w:color="auto" w:fill="FFFFFF"/>
    </w:rPr>
  </w:style>
  <w:style w:type="character" w:customStyle="1" w:styleId="30">
    <w:name w:val="badge24"/>
    <w:basedOn w:val="6"/>
    <w:qFormat/>
    <w:uiPriority w:val="0"/>
    <w:rPr>
      <w:color w:val="128BED"/>
    </w:rPr>
  </w:style>
  <w:style w:type="character" w:customStyle="1" w:styleId="31">
    <w:name w:val="badge25"/>
    <w:basedOn w:val="6"/>
    <w:qFormat/>
    <w:uiPriority w:val="0"/>
    <w:rPr>
      <w:color w:val="909090"/>
      <w:sz w:val="15"/>
      <w:szCs w:val="15"/>
    </w:rPr>
  </w:style>
  <w:style w:type="character" w:customStyle="1" w:styleId="32">
    <w:name w:val="badge26"/>
    <w:basedOn w:val="6"/>
    <w:qFormat/>
    <w:uiPriority w:val="0"/>
    <w:rPr>
      <w:shd w:val="clear" w:color="auto" w:fill="FFFFFF"/>
    </w:rPr>
  </w:style>
  <w:style w:type="character" w:customStyle="1" w:styleId="33">
    <w:name w:val="badge27"/>
    <w:basedOn w:val="6"/>
    <w:qFormat/>
    <w:uiPriority w:val="0"/>
    <w:rPr>
      <w:color w:val="128BED"/>
    </w:rPr>
  </w:style>
  <w:style w:type="character" w:customStyle="1" w:styleId="34">
    <w:name w:val="badge28"/>
    <w:basedOn w:val="6"/>
    <w:qFormat/>
    <w:uiPriority w:val="0"/>
    <w:rPr>
      <w:color w:val="128BED"/>
    </w:rPr>
  </w:style>
  <w:style w:type="character" w:customStyle="1" w:styleId="35">
    <w:name w:val="ma_app"/>
    <w:basedOn w:val="6"/>
    <w:qFormat/>
    <w:uiPriority w:val="0"/>
  </w:style>
  <w:style w:type="character" w:customStyle="1" w:styleId="36">
    <w:name w:val="delete"/>
    <w:basedOn w:val="6"/>
    <w:qFormat/>
    <w:uiPriority w:val="0"/>
  </w:style>
  <w:style w:type="character" w:customStyle="1" w:styleId="37">
    <w:name w:val="fontstyle01"/>
    <w:basedOn w:val="6"/>
    <w:qFormat/>
    <w:uiPriority w:val="0"/>
    <w:rPr>
      <w:rFonts w:hint="eastAsia" w:ascii="宋体" w:hAnsi="宋体" w:eastAsia="宋体" w:cs="宋体"/>
      <w:color w:val="000000"/>
      <w:sz w:val="24"/>
      <w:szCs w:val="24"/>
    </w:rPr>
  </w:style>
  <w:style w:type="character" w:customStyle="1" w:styleId="38">
    <w:name w:val="页眉 Char"/>
    <w:basedOn w:val="6"/>
    <w:link w:val="4"/>
    <w:qFormat/>
    <w:uiPriority w:val="0"/>
    <w:rPr>
      <w:rFonts w:asciiTheme="minorHAnsi" w:hAnsiTheme="minorHAnsi" w:eastAsiaTheme="minorEastAsia" w:cstheme="minorBidi"/>
      <w:kern w:val="2"/>
      <w:sz w:val="18"/>
      <w:szCs w:val="18"/>
    </w:rPr>
  </w:style>
  <w:style w:type="character" w:customStyle="1" w:styleId="39">
    <w:name w:val="页脚 Char"/>
    <w:basedOn w:val="6"/>
    <w:link w:val="3"/>
    <w:qFormat/>
    <w:uiPriority w:val="0"/>
    <w:rPr>
      <w:rFonts w:asciiTheme="minorHAnsi" w:hAnsiTheme="minorHAnsi" w:eastAsiaTheme="minorEastAsia" w:cstheme="minorBidi"/>
      <w:kern w:val="2"/>
      <w:sz w:val="18"/>
      <w:szCs w:val="18"/>
    </w:rPr>
  </w:style>
  <w:style w:type="character" w:customStyle="1" w:styleId="40">
    <w:name w:val="rec-status-desc"/>
    <w:basedOn w:val="6"/>
    <w:uiPriority w:val="0"/>
    <w:rPr>
      <w:bdr w:val="none" w:color="auto" w:sz="0" w:space="0"/>
    </w:rPr>
  </w:style>
  <w:style w:type="character" w:customStyle="1" w:styleId="41">
    <w:name w:val="rec-volume"/>
    <w:basedOn w:val="6"/>
    <w:uiPriority w:val="0"/>
  </w:style>
  <w:style w:type="character" w:customStyle="1" w:styleId="42">
    <w:name w:val="rec-tim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405</Words>
  <Characters>2312</Characters>
  <Lines>19</Lines>
  <Paragraphs>5</Paragraphs>
  <TotalTime>0</TotalTime>
  <ScaleCrop>false</ScaleCrop>
  <LinksUpToDate>false</LinksUpToDate>
  <CharactersWithSpaces>2712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白首、不相离</cp:lastModifiedBy>
  <cp:lastPrinted>2019-06-28T06:55:00Z</cp:lastPrinted>
  <dcterms:modified xsi:type="dcterms:W3CDTF">2019-07-01T09:28:17Z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