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hint="default" w:ascii="宋体" w:hAnsi="宋体" w:eastAsia="宋体" w:cs="宋体"/>
          <w:color w:val="auto"/>
          <w:sz w:val="24"/>
          <w:highlight w:val="none"/>
          <w:lang w:val="en-US" w:eastAsia="zh-CN"/>
        </w:rPr>
      </w:pPr>
      <w:r>
        <w:rPr>
          <w:rFonts w:hint="eastAsia" w:ascii="宋体" w:hAnsi="宋体" w:eastAsia="宋体" w:cs="宋体"/>
          <w:color w:val="auto"/>
          <w:sz w:val="24"/>
        </w:rPr>
        <w:t>证券代码：002043</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证券简称：兔宝宝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公告编号：2019-0</w:t>
      </w:r>
      <w:r>
        <w:rPr>
          <w:rFonts w:hint="eastAsia" w:ascii="宋体" w:hAnsi="宋体" w:eastAsia="宋体" w:cs="宋体"/>
          <w:color w:val="auto"/>
          <w:sz w:val="24"/>
          <w:highlight w:val="none"/>
          <w:lang w:val="en-US" w:eastAsia="zh-CN"/>
        </w:rPr>
        <w:t>28</w:t>
      </w:r>
    </w:p>
    <w:p>
      <w:pPr>
        <w:spacing w:line="260" w:lineRule="exact"/>
        <w:rPr>
          <w:rFonts w:hint="eastAsia" w:ascii="宋体" w:hAnsi="宋体" w:eastAsia="宋体" w:cs="宋体"/>
          <w:color w:val="auto"/>
          <w:sz w:val="24"/>
          <w:highlight w:val="none"/>
        </w:rPr>
      </w:pPr>
    </w:p>
    <w:p>
      <w:pPr>
        <w:spacing w:line="420" w:lineRule="exact"/>
        <w:jc w:val="center"/>
        <w:rPr>
          <w:rFonts w:hint="eastAsia" w:ascii="宋体" w:hAnsi="宋体" w:eastAsia="宋体" w:cs="宋体"/>
          <w:b/>
          <w:bCs w:val="0"/>
          <w:color w:val="auto"/>
          <w:sz w:val="30"/>
          <w:szCs w:val="30"/>
          <w:highlight w:val="none"/>
        </w:rPr>
      </w:pPr>
      <w:r>
        <w:rPr>
          <w:rFonts w:hint="eastAsia" w:ascii="宋体" w:hAnsi="宋体" w:eastAsia="宋体" w:cs="宋体"/>
          <w:b/>
          <w:bCs w:val="0"/>
          <w:color w:val="auto"/>
          <w:sz w:val="30"/>
          <w:szCs w:val="30"/>
          <w:highlight w:val="none"/>
        </w:rPr>
        <w:t>德华兔宝宝装饰新材股份有限公司</w:t>
      </w:r>
    </w:p>
    <w:p>
      <w:pPr>
        <w:spacing w:line="420" w:lineRule="exact"/>
        <w:jc w:val="center"/>
        <w:rPr>
          <w:rFonts w:ascii="黑体" w:hAnsi="黑体" w:eastAsia="黑体"/>
          <w:bCs/>
          <w:color w:val="auto"/>
          <w:sz w:val="30"/>
          <w:szCs w:val="30"/>
          <w:highlight w:val="none"/>
        </w:rPr>
      </w:pPr>
      <w:r>
        <w:rPr>
          <w:rFonts w:hint="eastAsia" w:ascii="宋体" w:hAnsi="宋体" w:eastAsia="宋体" w:cs="宋体"/>
          <w:b/>
          <w:bCs w:val="0"/>
          <w:color w:val="auto"/>
          <w:sz w:val="30"/>
          <w:szCs w:val="30"/>
          <w:highlight w:val="none"/>
        </w:rPr>
        <w:t>关于深交所对于公司2018年年报问询函的回复公告</w:t>
      </w:r>
    </w:p>
    <w:p>
      <w:pPr>
        <w:spacing w:line="260" w:lineRule="exact"/>
        <w:rPr>
          <w:color w:val="auto"/>
          <w:sz w:val="24"/>
          <w:highlight w:val="none"/>
        </w:rPr>
      </w:pPr>
    </w:p>
    <w:p>
      <w:pPr>
        <w:spacing w:line="420" w:lineRule="exact"/>
        <w:ind w:firstLine="480" w:firstLineChars="200"/>
        <w:rPr>
          <w:rFonts w:ascii="宋体" w:hAnsi="宋体"/>
          <w:color w:val="auto"/>
          <w:sz w:val="28"/>
          <w:highlight w:val="none"/>
        </w:rPr>
      </w:pPr>
      <w:r>
        <w:rPr>
          <w:rFonts w:hint="eastAsia" w:ascii="宋体" w:hAnsi="宋体"/>
          <w:color w:val="auto"/>
          <w:sz w:val="24"/>
          <w:highlight w:val="none"/>
        </w:rPr>
        <w:t>本公司及董事会全体成员保证公告内容真实、准确和完整，不存在虚假记载、误导性陈述或重大遗漏。</w:t>
      </w:r>
    </w:p>
    <w:p>
      <w:pPr>
        <w:spacing w:line="420" w:lineRule="exact"/>
        <w:ind w:firstLine="560" w:firstLineChars="200"/>
        <w:rPr>
          <w:rFonts w:ascii="宋体" w:hAnsi="宋体"/>
          <w:color w:val="auto"/>
          <w:sz w:val="28"/>
          <w:highlight w:val="none"/>
        </w:rPr>
      </w:pPr>
    </w:p>
    <w:p>
      <w:pPr>
        <w:spacing w:line="360" w:lineRule="auto"/>
        <w:ind w:firstLine="480"/>
        <w:rPr>
          <w:rFonts w:ascii="宋体" w:hAnsi="宋体" w:eastAsia="宋体" w:cs="宋体"/>
          <w:color w:val="auto"/>
          <w:sz w:val="24"/>
          <w:highlight w:val="none"/>
        </w:rPr>
      </w:pPr>
      <w:r>
        <w:rPr>
          <w:rFonts w:hint="eastAsia" w:ascii="宋体" w:hAnsi="宋体" w:eastAsia="宋体" w:cs="宋体"/>
          <w:color w:val="auto"/>
          <w:sz w:val="24"/>
          <w:highlight w:val="none"/>
        </w:rPr>
        <w:t>德华兔宝宝装饰新材股份有限公司（以下简称“公司”）于近日收到深圳证券交易所下发的中小板问询函【</w:t>
      </w:r>
      <w:sdt>
        <w:sdtPr>
          <w:rPr>
            <w:rFonts w:hint="eastAsia" w:ascii="宋体" w:hAnsi="宋体" w:eastAsia="宋体" w:cs="宋体"/>
            <w:color w:val="auto"/>
            <w:sz w:val="24"/>
            <w:highlight w:val="none"/>
          </w:rPr>
          <w:alias w:val="年份（字号）"/>
          <w:tag w:val="Year"/>
          <w:id w:val="3404626"/>
          <w:placeholder>
            <w:docPart w:val="{009b9a18-7672-4c5e-bc53-d808d6b2e553}"/>
          </w:placeholder>
          <w:text/>
        </w:sdtPr>
        <w:sdtEndPr>
          <w:rPr>
            <w:rFonts w:hint="eastAsia" w:ascii="宋体" w:hAnsi="宋体" w:eastAsia="宋体" w:cs="宋体"/>
            <w:color w:val="auto"/>
            <w:sz w:val="24"/>
            <w:highlight w:val="none"/>
          </w:rPr>
        </w:sdtEndPr>
        <w:sdtContent>
          <w:r>
            <w:rPr>
              <w:rFonts w:hint="eastAsia" w:ascii="宋体" w:hAnsi="宋体" w:eastAsia="宋体" w:cs="宋体"/>
              <w:color w:val="auto"/>
              <w:sz w:val="24"/>
              <w:highlight w:val="none"/>
            </w:rPr>
            <w:t>2019</w:t>
          </w:r>
        </w:sdtContent>
      </w:sdt>
      <w:r>
        <w:rPr>
          <w:rFonts w:hint="eastAsia" w:ascii="宋体" w:hAnsi="宋体" w:eastAsia="宋体" w:cs="宋体"/>
          <w:color w:val="auto"/>
          <w:sz w:val="24"/>
          <w:highlight w:val="none"/>
        </w:rPr>
        <w:t>】第</w:t>
      </w:r>
      <w:sdt>
        <w:sdtPr>
          <w:rPr>
            <w:rFonts w:hint="eastAsia" w:ascii="宋体" w:hAnsi="宋体" w:eastAsia="宋体" w:cs="宋体"/>
            <w:color w:val="auto"/>
            <w:sz w:val="24"/>
            <w:highlight w:val="none"/>
          </w:rPr>
          <w:alias w:val="正式编号"/>
          <w:tag w:val="FormalCode"/>
          <w:id w:val="3404632"/>
          <w:placeholder>
            <w:docPart w:val="{e39f4bc3-817c-427e-89c7-25c37a90aac2}"/>
          </w:placeholder>
          <w:text/>
        </w:sdtPr>
        <w:sdtEndPr>
          <w:rPr>
            <w:rFonts w:hint="eastAsia" w:ascii="宋体" w:hAnsi="宋体" w:eastAsia="宋体" w:cs="宋体"/>
            <w:color w:val="auto"/>
            <w:sz w:val="24"/>
            <w:highlight w:val="none"/>
          </w:rPr>
        </w:sdtEndPr>
        <w:sdtContent>
          <w:r>
            <w:rPr>
              <w:rFonts w:hint="eastAsia" w:ascii="宋体" w:hAnsi="宋体" w:eastAsia="宋体" w:cs="宋体"/>
              <w:color w:val="auto"/>
              <w:sz w:val="24"/>
              <w:highlight w:val="none"/>
            </w:rPr>
            <w:t>65</w:t>
          </w:r>
        </w:sdtContent>
      </w:sdt>
      <w:r>
        <w:rPr>
          <w:rFonts w:hint="eastAsia" w:ascii="宋体" w:hAnsi="宋体" w:eastAsia="宋体" w:cs="宋体"/>
          <w:color w:val="auto"/>
          <w:sz w:val="24"/>
          <w:highlight w:val="none"/>
        </w:rPr>
        <w:t>号，公司董事会对交易所问询所关注的事项进行了认真的核查和落实，并按照要求逐一作出说明回复。现将回复的内容公告如下：</w:t>
      </w:r>
    </w:p>
    <w:p>
      <w:pPr>
        <w:numPr>
          <w:ilvl w:val="0"/>
          <w:numId w:val="1"/>
        </w:numPr>
        <w:spacing w:line="360" w:lineRule="auto"/>
        <w:ind w:firstLine="482" w:firstLineChars="200"/>
        <w:outlineLvl w:val="0"/>
        <w:rPr>
          <w:rFonts w:ascii="宋体" w:hAnsi="宋体" w:eastAsia="宋体" w:cs="宋体"/>
          <w:b/>
          <w:bCs/>
          <w:color w:val="auto"/>
          <w:sz w:val="24"/>
          <w:highlight w:val="none"/>
        </w:rPr>
      </w:pPr>
      <w:r>
        <w:rPr>
          <w:rFonts w:hint="eastAsia" w:ascii="宋体" w:hAnsi="宋体" w:eastAsia="宋体" w:cs="宋体"/>
          <w:b/>
          <w:bCs/>
          <w:color w:val="auto"/>
          <w:sz w:val="24"/>
          <w:highlight w:val="none"/>
        </w:rPr>
        <w:t>报告期内，你公司以3.63亿元的价格收购大自然家居控股有限公司（以下简称“大自然家居”）18.39%的股份，划入以公允价值计量的可供出售金融资产，当期累计计入其他综合收益的公允价值变动金额为-3,619.90万元。请结合你公司对大自然家居的控制或重大影响情况，说明将上述资产划分为可供出售金融资产的依据，并说明上述金融资产期末余额的确认依据、公允价值变动的计算过程、相应的会计处理及是否符合《企业会计准则》的规定。</w:t>
      </w:r>
    </w:p>
    <w:p>
      <w:pPr>
        <w:spacing w:line="360" w:lineRule="auto"/>
        <w:ind w:firstLine="480" w:firstLineChars="200"/>
        <w:outlineLvl w:val="0"/>
        <w:rPr>
          <w:rFonts w:ascii="宋体" w:hAnsi="宋体" w:eastAsia="宋体" w:cs="宋体"/>
          <w:bCs/>
          <w:color w:val="auto"/>
          <w:sz w:val="24"/>
          <w:highlight w:val="none"/>
        </w:rPr>
      </w:pPr>
      <w:r>
        <w:rPr>
          <w:rFonts w:hint="eastAsia" w:ascii="宋体" w:hAnsi="宋体" w:eastAsia="宋体" w:cs="宋体"/>
          <w:bCs/>
          <w:color w:val="auto"/>
          <w:sz w:val="24"/>
          <w:highlight w:val="none"/>
        </w:rPr>
        <w:t>回答：</w:t>
      </w:r>
    </w:p>
    <w:p>
      <w:pPr>
        <w:spacing w:line="360" w:lineRule="auto"/>
        <w:ind w:firstLine="480" w:firstLineChars="200"/>
        <w:outlineLvl w:val="0"/>
        <w:rPr>
          <w:rFonts w:ascii="宋体" w:hAnsi="宋体" w:eastAsia="宋体" w:cs="宋体"/>
          <w:bCs/>
          <w:color w:val="auto"/>
          <w:sz w:val="24"/>
          <w:highlight w:val="none"/>
        </w:rPr>
      </w:pPr>
      <w:r>
        <w:rPr>
          <w:rFonts w:hint="eastAsia" w:ascii="宋体" w:hAnsi="宋体" w:eastAsia="宋体" w:cs="宋体"/>
          <w:bCs/>
          <w:color w:val="auto"/>
          <w:sz w:val="24"/>
          <w:highlight w:val="none"/>
        </w:rPr>
        <w:t>（1）划分为可供出售金融资产的依据</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bCs/>
          <w:color w:val="auto"/>
          <w:sz w:val="24"/>
          <w:highlight w:val="none"/>
        </w:rPr>
        <w:t>报告期内公司按照每股1.55港元的价格，收购大自然家居控股有限公司第二大股东NORTH HAVEN FLOORING HOLDING CO., LTD持有的269,999,990股股票，占大自然家居控股有限公司全部已发行股份的约18.39%，总收购价款为</w:t>
      </w:r>
      <w:r>
        <w:rPr>
          <w:rFonts w:hint="eastAsia" w:ascii="宋体" w:hAnsi="宋体" w:eastAsia="宋体" w:cs="宋体"/>
          <w:bCs/>
          <w:color w:val="auto"/>
          <w:sz w:val="24"/>
          <w:highlight w:val="none"/>
          <w:lang w:val="en-US" w:eastAsia="zh-CN"/>
        </w:rPr>
        <w:t>3.63亿</w:t>
      </w:r>
      <w:r>
        <w:rPr>
          <w:rFonts w:hint="eastAsia" w:ascii="宋体" w:hAnsi="宋体" w:eastAsia="宋体" w:cs="宋体"/>
          <w:bCs/>
          <w:color w:val="auto"/>
          <w:sz w:val="24"/>
          <w:highlight w:val="none"/>
        </w:rPr>
        <w:t>元。截至2018年12月31日，大自然家居控股有限公司期末股份总数为1,437,381,990股，公司股权持有比例为18.78%。本次收购作价以大自然家居控股有限公司二级市场价格及每股净资产为依据，经交易双方协商确定。公司对大自然家居控股有限公司的该项投资系出于财务投资的目的，故不予委派董事、监事、高级管理人员，不参与大自然家居控股有限公司财务和经营决策，不存在具有重大影响的情形</w:t>
      </w:r>
      <w:r>
        <w:rPr>
          <w:rFonts w:hint="eastAsia" w:ascii="宋体" w:hAnsi="宋体" w:eastAsia="宋体" w:cs="宋体"/>
          <w:color w:val="auto"/>
          <w:sz w:val="24"/>
          <w:highlight w:val="none"/>
        </w:rPr>
        <w:t>，按会计准则相关规定确认为可供出售金融资产。</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（2）期末公允价值的确认依据</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公司采用在当前情况下适用并且有足够可利用数据和其他信息支持的估值技术确定相关金融资产和金融负债的公允价值。公司将估值技术使用的输入值分以下层级，并依次使用：</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1) 第一层次输入值是在计量日能够取得的相同资产或负债在活跃市场上未经调整的报价；</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2) 第二层次输入值是除第一层次输入值外相关资产或负债直接或间接可观察的输入值，包括：活跃市场中类似资产或负债的报价；非活跃市场中相同或类似资产或负债的报价；除报价以外的其他可观察输入值，如在正常报价间隔期间可观察的利率和收益率曲线等；市场验证的输入值等；</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3) 第三层次输入值是相关资产或负债的不可观察输入值，包括不能直接观察或无法由可观察市场数据验证的利率、股票波动率、企业合并中承担的弃置义务的未来现金流量、使用自身数据作出的财务预测等。</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公司对大自然家居控股有限公司的股票投资以香港交易所公布的交易价格作为市价，2018年12月31日大自然家居控股有限公司交易价格为每股1.38港元。</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（3）公允价值变动的计算过程</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 xml:space="preserve">                                                                  单位</w:t>
      </w:r>
      <w:r>
        <w:rPr>
          <w:rFonts w:hint="eastAsia" w:ascii="宋体" w:hAnsi="宋体" w:eastAsia="宋体" w:cs="宋体"/>
          <w:color w:val="auto"/>
          <w:sz w:val="24"/>
          <w:highlight w:val="none"/>
          <w:lang w:eastAsia="zh-CN"/>
        </w:rPr>
        <w:t>：万</w:t>
      </w:r>
      <w:r>
        <w:rPr>
          <w:rFonts w:hint="eastAsia" w:ascii="宋体" w:hAnsi="宋体" w:eastAsia="宋体" w:cs="宋体"/>
          <w:color w:val="auto"/>
          <w:sz w:val="24"/>
          <w:highlight w:val="none"/>
        </w:rPr>
        <w:t>元</w:t>
      </w:r>
    </w:p>
    <w:tbl>
      <w:tblPr>
        <w:tblStyle w:val="7"/>
        <w:tblW w:w="9613"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312"/>
        <w:gridCol w:w="875"/>
        <w:gridCol w:w="1198"/>
        <w:gridCol w:w="1952"/>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8" w:type="dxa"/>
            <w:vAlign w:val="center"/>
          </w:tcPr>
          <w:p>
            <w:pPr>
              <w:jc w:val="center"/>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购入股票数量</w:t>
            </w:r>
            <w:r>
              <w:rPr>
                <w:rFonts w:hint="eastAsia" w:ascii="宋体" w:hAnsi="宋体" w:eastAsia="宋体" w:cs="宋体"/>
                <w:color w:val="auto"/>
                <w:sz w:val="24"/>
                <w:szCs w:val="24"/>
                <w:highlight w:val="none"/>
                <w:lang w:eastAsia="zh-CN"/>
              </w:rPr>
              <w:t>（股）</w:t>
            </w:r>
          </w:p>
        </w:tc>
        <w:tc>
          <w:tcPr>
            <w:tcW w:w="1312" w:type="dxa"/>
            <w:vAlign w:val="center"/>
          </w:tcPr>
          <w:p>
            <w:pPr>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收</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购</w:t>
            </w:r>
          </w:p>
          <w:p>
            <w:pPr>
              <w:jc w:val="center"/>
              <w:outlineLvl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总成本</w:t>
            </w:r>
          </w:p>
        </w:tc>
        <w:tc>
          <w:tcPr>
            <w:tcW w:w="2073" w:type="dxa"/>
            <w:gridSpan w:val="2"/>
            <w:vAlign w:val="center"/>
          </w:tcPr>
          <w:p>
            <w:pPr>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资产负债表</w:t>
            </w:r>
          </w:p>
          <w:p>
            <w:pPr>
              <w:jc w:val="center"/>
              <w:outlineLvl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日市价</w:t>
            </w:r>
          </w:p>
        </w:tc>
        <w:tc>
          <w:tcPr>
            <w:tcW w:w="1952" w:type="dxa"/>
          </w:tcPr>
          <w:p>
            <w:pPr>
              <w:outlineLvl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资产负债表日公允价值（市价</w:t>
            </w:r>
            <w:r>
              <w:rPr>
                <w:rFonts w:ascii="宋体" w:hAnsi="宋体" w:eastAsia="宋体" w:cs="宋体"/>
                <w:color w:val="auto"/>
                <w:sz w:val="24"/>
                <w:szCs w:val="24"/>
                <w:highlight w:val="none"/>
              </w:rPr>
              <w:t>*购入股票数量）</w:t>
            </w:r>
          </w:p>
        </w:tc>
        <w:tc>
          <w:tcPr>
            <w:tcW w:w="2538" w:type="dxa"/>
          </w:tcPr>
          <w:p>
            <w:pPr>
              <w:outlineLvl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计入其他综合收益的公允价值变动金额</w:t>
            </w:r>
            <w:r>
              <w:rPr>
                <w:rFonts w:ascii="宋体" w:hAnsi="宋体" w:eastAsia="宋体" w:cs="宋体"/>
                <w:color w:val="auto"/>
                <w:sz w:val="24"/>
                <w:szCs w:val="24"/>
                <w:highlight w:val="none"/>
              </w:rPr>
              <w:t>(公允价值-收购成本)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0"/>
              <w:rPr>
                <w:rFonts w:ascii="宋体" w:hAnsi="宋体" w:eastAsia="宋体" w:cs="宋体"/>
                <w:color w:val="auto"/>
                <w:sz w:val="24"/>
                <w:szCs w:val="24"/>
                <w:highlight w:val="none"/>
              </w:rPr>
            </w:pPr>
            <w:r>
              <w:rPr>
                <w:rFonts w:ascii="宋体" w:hAnsi="宋体" w:eastAsia="宋体" w:cs="宋体"/>
                <w:color w:val="auto"/>
                <w:sz w:val="24"/>
                <w:szCs w:val="24"/>
                <w:highlight w:val="none"/>
              </w:rPr>
              <w:t>269,999,990</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0"/>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36</w:t>
            </w:r>
            <w:r>
              <w:rPr>
                <w:rFonts w:hint="eastAsia" w:ascii="宋体" w:hAnsi="宋体" w:eastAsia="宋体" w:cs="宋体"/>
                <w:color w:val="auto"/>
                <w:sz w:val="24"/>
                <w:szCs w:val="24"/>
                <w:highlight w:val="none"/>
                <w:lang w:val="en-US" w:eastAsia="zh-CN"/>
              </w:rPr>
              <w:t>,</w:t>
            </w:r>
            <w:r>
              <w:rPr>
                <w:rFonts w:ascii="宋体" w:hAnsi="宋体" w:eastAsia="宋体" w:cs="宋体"/>
                <w:color w:val="auto"/>
                <w:sz w:val="24"/>
                <w:szCs w:val="24"/>
                <w:highlight w:val="none"/>
              </w:rPr>
              <w:t>267</w:t>
            </w:r>
            <w:r>
              <w:rPr>
                <w:rFonts w:hint="eastAsia" w:ascii="宋体" w:hAnsi="宋体" w:eastAsia="宋体" w:cs="宋体"/>
                <w:color w:val="auto"/>
                <w:sz w:val="24"/>
                <w:szCs w:val="24"/>
                <w:highlight w:val="none"/>
                <w:lang w:val="en-US" w:eastAsia="zh-CN"/>
              </w:rPr>
              <w:t>.</w:t>
            </w: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p>
        </w:tc>
        <w:tc>
          <w:tcPr>
            <w:tcW w:w="8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0"/>
              <w:rPr>
                <w:rFonts w:ascii="宋体" w:hAnsi="宋体" w:eastAsia="宋体" w:cs="宋体"/>
                <w:color w:val="auto"/>
                <w:sz w:val="24"/>
                <w:szCs w:val="24"/>
                <w:highlight w:val="none"/>
              </w:rPr>
            </w:pPr>
            <w:r>
              <w:rPr>
                <w:rFonts w:ascii="宋体" w:hAnsi="宋体" w:eastAsia="宋体" w:cs="宋体"/>
                <w:color w:val="auto"/>
                <w:sz w:val="24"/>
                <w:szCs w:val="24"/>
                <w:highlight w:val="none"/>
              </w:rPr>
              <w:t>1.38港元</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折算汇率</w:t>
            </w:r>
            <w:r>
              <w:rPr>
                <w:rFonts w:ascii="宋体" w:hAnsi="宋体" w:eastAsia="宋体" w:cs="宋体"/>
                <w:color w:val="auto"/>
                <w:sz w:val="24"/>
                <w:szCs w:val="24"/>
                <w:highlight w:val="none"/>
              </w:rPr>
              <w:t>0.8762</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0"/>
              <w:rPr>
                <w:rFonts w:hint="eastAsia" w:ascii="宋体" w:hAnsi="宋体" w:eastAsia="宋体" w:cs="宋体"/>
                <w:color w:val="auto"/>
                <w:sz w:val="24"/>
                <w:szCs w:val="24"/>
                <w:highlight w:val="none"/>
                <w:lang w:eastAsia="zh-CN"/>
              </w:rPr>
            </w:pPr>
            <w:r>
              <w:rPr>
                <w:rFonts w:ascii="宋体" w:hAnsi="宋体" w:eastAsia="宋体" w:cs="宋体"/>
                <w:color w:val="auto"/>
                <w:sz w:val="24"/>
                <w:szCs w:val="24"/>
                <w:highlight w:val="none"/>
              </w:rPr>
              <w:t>32</w:t>
            </w:r>
            <w:r>
              <w:rPr>
                <w:rFonts w:hint="eastAsia" w:ascii="宋体" w:hAnsi="宋体" w:eastAsia="宋体" w:cs="宋体"/>
                <w:color w:val="auto"/>
                <w:sz w:val="24"/>
                <w:szCs w:val="24"/>
                <w:highlight w:val="none"/>
                <w:lang w:val="en-US" w:eastAsia="zh-CN"/>
              </w:rPr>
              <w:t>,</w:t>
            </w:r>
            <w:r>
              <w:rPr>
                <w:rFonts w:ascii="宋体" w:hAnsi="宋体" w:eastAsia="宋体" w:cs="宋体"/>
                <w:color w:val="auto"/>
                <w:sz w:val="24"/>
                <w:szCs w:val="24"/>
                <w:highlight w:val="none"/>
              </w:rPr>
              <w:t>647</w:t>
            </w:r>
            <w:r>
              <w:rPr>
                <w:rFonts w:hint="eastAsia" w:ascii="宋体" w:hAnsi="宋体" w:eastAsia="宋体" w:cs="宋体"/>
                <w:color w:val="auto"/>
                <w:sz w:val="24"/>
                <w:szCs w:val="24"/>
                <w:highlight w:val="none"/>
                <w:lang w:val="en-US" w:eastAsia="zh-CN"/>
              </w:rPr>
              <w:t>.</w:t>
            </w: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1</w:t>
            </w:r>
          </w:p>
        </w:tc>
        <w:tc>
          <w:tcPr>
            <w:tcW w:w="25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0"/>
              <w:rPr>
                <w:rFonts w:hint="eastAsia" w:ascii="宋体" w:hAnsi="宋体" w:eastAsia="宋体" w:cs="宋体"/>
                <w:color w:val="auto"/>
                <w:sz w:val="24"/>
                <w:szCs w:val="24"/>
                <w:highlight w:val="none"/>
                <w:lang w:val="en-US" w:eastAsia="zh-CN"/>
              </w:rPr>
            </w:pP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ascii="宋体" w:hAnsi="宋体" w:eastAsia="宋体" w:cs="宋体"/>
                <w:color w:val="auto"/>
                <w:sz w:val="24"/>
                <w:szCs w:val="24"/>
                <w:highlight w:val="none"/>
              </w:rPr>
              <w:t>619</w:t>
            </w:r>
            <w:r>
              <w:rPr>
                <w:rFonts w:hint="eastAsia" w:ascii="宋体" w:hAnsi="宋体" w:eastAsia="宋体" w:cs="宋体"/>
                <w:color w:val="auto"/>
                <w:sz w:val="24"/>
                <w:szCs w:val="24"/>
                <w:highlight w:val="none"/>
                <w:lang w:val="en-US" w:eastAsia="zh-CN"/>
              </w:rPr>
              <w:t>.90</w:t>
            </w:r>
          </w:p>
        </w:tc>
      </w:tr>
    </w:tbl>
    <w:p>
      <w:pPr>
        <w:spacing w:line="360" w:lineRule="auto"/>
        <w:ind w:firstLine="480" w:firstLineChars="200"/>
        <w:outlineLvl w:val="0"/>
        <w:rPr>
          <w:rFonts w:ascii="宋体" w:hAnsi="宋体" w:eastAsia="宋体" w:cs="宋体"/>
          <w:color w:val="auto"/>
          <w:sz w:val="24"/>
          <w:highlight w:val="none"/>
        </w:rPr>
      </w:pPr>
    </w:p>
    <w:p>
      <w:pPr>
        <w:spacing w:line="360" w:lineRule="auto"/>
        <w:ind w:firstLine="482" w:firstLineChars="200"/>
        <w:outlineLvl w:val="0"/>
        <w:rPr>
          <w:rFonts w:ascii="宋体" w:hAnsi="宋体" w:eastAsia="宋体" w:cs="宋体"/>
          <w:b/>
          <w:bCs/>
          <w:color w:val="auto"/>
          <w:sz w:val="24"/>
          <w:highlight w:val="none"/>
        </w:rPr>
      </w:pPr>
      <w:r>
        <w:rPr>
          <w:rFonts w:hint="eastAsia" w:ascii="宋体" w:hAnsi="宋体" w:eastAsia="宋体" w:cs="宋体"/>
          <w:b/>
          <w:bCs/>
          <w:color w:val="auto"/>
          <w:sz w:val="24"/>
          <w:highlight w:val="none"/>
        </w:rPr>
        <w:t>2、报告期内，你公司投资收益金额为7,506.66万元，占利润总额的比重为18.67%，其中，对外委托贷款取得的投资收益金额为6,448.61万元，同比增长54.97%。报告期末，公司委托贷款本金及利息账面余额为7.77亿元，未对上述委托贷款计提坏账准备。</w:t>
      </w:r>
    </w:p>
    <w:p>
      <w:pPr>
        <w:spacing w:line="360" w:lineRule="auto"/>
        <w:ind w:firstLine="482" w:firstLineChars="200"/>
        <w:outlineLvl w:val="0"/>
        <w:rPr>
          <w:rFonts w:ascii="宋体" w:hAnsi="宋体" w:eastAsia="宋体" w:cs="宋体"/>
          <w:b/>
          <w:bCs/>
          <w:color w:val="auto"/>
          <w:sz w:val="24"/>
          <w:highlight w:val="none"/>
        </w:rPr>
      </w:pPr>
      <w:r>
        <w:rPr>
          <w:rFonts w:hint="eastAsia" w:ascii="宋体" w:hAnsi="宋体" w:eastAsia="宋体" w:cs="宋体"/>
          <w:b/>
          <w:bCs/>
          <w:color w:val="auto"/>
          <w:sz w:val="24"/>
          <w:highlight w:val="none"/>
        </w:rPr>
        <w:t>（1）请说明你公司针对上述委托贷款是否建立了完善的内部控制制度和风险控制措施，以及上述制度的有效性。</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回答：</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公司本期财务状况良好，经营活动现金流充裕，为提高资金使用效率和资产收益率，增加公司收益，经公司</w:t>
      </w:r>
      <w:r>
        <w:rPr>
          <w:rFonts w:hint="eastAsia" w:ascii="宋体" w:hAnsi="宋体" w:cs="宋体"/>
          <w:color w:val="auto"/>
          <w:kern w:val="0"/>
          <w:sz w:val="24"/>
          <w:highlight w:val="none"/>
        </w:rPr>
        <w:t>第六届董事会第十次会议</w:t>
      </w:r>
      <w:r>
        <w:rPr>
          <w:rFonts w:hint="eastAsia" w:ascii="宋体" w:hAnsi="宋体" w:eastAsia="宋体" w:cs="宋体"/>
          <w:color w:val="auto"/>
          <w:sz w:val="24"/>
          <w:highlight w:val="none"/>
        </w:rPr>
        <w:t>以及2017年度</w:t>
      </w:r>
      <w:r>
        <w:rPr>
          <w:rFonts w:ascii="宋体" w:hAnsi="宋体" w:eastAsia="宋体" w:cs="宋体"/>
          <w:color w:val="auto"/>
          <w:sz w:val="24"/>
          <w:highlight w:val="none"/>
        </w:rPr>
        <w:t>股东大会审议通过，</w:t>
      </w:r>
      <w:r>
        <w:rPr>
          <w:rFonts w:hint="eastAsia" w:ascii="宋体" w:hAnsi="宋体" w:cs="宋体"/>
          <w:color w:val="auto"/>
          <w:kern w:val="0"/>
          <w:sz w:val="24"/>
          <w:highlight w:val="none"/>
        </w:rPr>
        <w:t>同意公司在不超过人民币15亿元的额度内使用自有资金进行现金管理，用于购买银行、基金公司、证券公司、信托公司等金融机构发行的安全性高、流动性较好、中低风险、固定或浮动收益类的理财产品和进行委托贷款业务。上述额度在决议有效期内可以滚动使用，并授权董事长在上述额度内具体负责办理实施，授权期限自股东大会审议通过之日起一年。</w:t>
      </w:r>
      <w:r>
        <w:rPr>
          <w:rFonts w:hint="eastAsia" w:ascii="宋体" w:hAnsi="宋体" w:eastAsia="宋体" w:cs="宋体"/>
          <w:color w:val="auto"/>
          <w:sz w:val="24"/>
          <w:highlight w:val="none"/>
        </w:rPr>
        <w:t>同时，公司制定了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内部控制制度</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《理财产品管理制度》，公司根据</w:t>
      </w:r>
      <w:r>
        <w:rPr>
          <w:rFonts w:hint="eastAsia" w:ascii="宋体" w:hAnsi="宋体" w:eastAsia="宋体" w:cs="宋体"/>
          <w:color w:val="auto"/>
          <w:sz w:val="24"/>
          <w:highlight w:val="none"/>
          <w:lang w:val="en-US" w:eastAsia="zh-CN"/>
        </w:rPr>
        <w:t>相关制度</w:t>
      </w:r>
      <w:r>
        <w:rPr>
          <w:rFonts w:hint="eastAsia" w:ascii="宋体" w:hAnsi="宋体" w:eastAsia="宋体" w:cs="宋体"/>
          <w:color w:val="auto"/>
          <w:sz w:val="24"/>
          <w:highlight w:val="none"/>
        </w:rPr>
        <w:t>针对委托贷款作出的风险控制措施如下：</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(1）公司将做好委托贷款前期调研和可行性论证，严格遵守审慎投资原则。</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w:t>
      </w:r>
      <w:r>
        <w:rPr>
          <w:rFonts w:ascii="宋体" w:hAnsi="宋体" w:eastAsia="宋体" w:cs="宋体"/>
          <w:color w:val="auto"/>
          <w:sz w:val="24"/>
          <w:highlight w:val="none"/>
        </w:rPr>
        <w:t xml:space="preserve">2) </w:t>
      </w:r>
      <w:r>
        <w:rPr>
          <w:rFonts w:hint="eastAsia" w:ascii="宋体" w:hAnsi="宋体" w:eastAsia="宋体" w:cs="宋体"/>
          <w:color w:val="auto"/>
          <w:sz w:val="24"/>
          <w:highlight w:val="none"/>
        </w:rPr>
        <w:t>公司财务中心负责具体的委托贷款程序办理，并及时跟踪一旦发现有不利情况，应及时采取相应的保全措施，控制投资风险。</w:t>
      </w:r>
    </w:p>
    <w:p>
      <w:pPr>
        <w:spacing w:line="360" w:lineRule="auto"/>
        <w:ind w:firstLine="480"/>
        <w:outlineLvl w:val="0"/>
        <w:rPr>
          <w:rFonts w:ascii="宋体" w:hAnsi="宋体" w:eastAsia="宋体" w:cs="宋体"/>
          <w:color w:val="auto"/>
          <w:sz w:val="24"/>
          <w:highlight w:val="none"/>
        </w:rPr>
      </w:pPr>
      <w:r>
        <w:rPr>
          <w:rFonts w:ascii="宋体" w:hAnsi="宋体" w:eastAsia="宋体" w:cs="宋体"/>
          <w:color w:val="auto"/>
          <w:sz w:val="24"/>
          <w:highlight w:val="none"/>
        </w:rPr>
        <w:t>(3</w:t>
      </w:r>
      <w:r>
        <w:rPr>
          <w:rFonts w:hint="eastAsia" w:ascii="宋体" w:hAnsi="宋体" w:eastAsia="宋体" w:cs="宋体"/>
          <w:color w:val="auto"/>
          <w:sz w:val="24"/>
          <w:highlight w:val="none"/>
        </w:rPr>
        <w:t>）公司审计部负责对本项授权投资进行审计监督，每个季度末应对各项投资进行全面审查，并根据谨慎性原则对各项投资可能的风险与收益进行评价，向董事会审计委员会报告。</w:t>
      </w:r>
    </w:p>
    <w:p>
      <w:pPr>
        <w:spacing w:line="360" w:lineRule="auto"/>
        <w:ind w:firstLine="480"/>
        <w:outlineLvl w:val="0"/>
        <w:rPr>
          <w:rFonts w:ascii="宋体" w:hAnsi="宋体" w:eastAsia="宋体" w:cs="宋体"/>
          <w:color w:val="auto"/>
          <w:sz w:val="24"/>
          <w:highlight w:val="none"/>
        </w:rPr>
      </w:pPr>
      <w:r>
        <w:rPr>
          <w:rFonts w:ascii="宋体" w:hAnsi="宋体" w:eastAsia="宋体" w:cs="宋体"/>
          <w:color w:val="auto"/>
          <w:sz w:val="24"/>
          <w:highlight w:val="none"/>
        </w:rPr>
        <w:t>(4</w:t>
      </w:r>
      <w:r>
        <w:rPr>
          <w:rFonts w:hint="eastAsia" w:ascii="宋体" w:hAnsi="宋体" w:eastAsia="宋体" w:cs="宋体"/>
          <w:color w:val="auto"/>
          <w:sz w:val="24"/>
          <w:highlight w:val="none"/>
        </w:rPr>
        <w:t>）公司董事会负责根据中国证监会及深圳证券交易所的有关规定，及时履行信息披露义务，并在定期报告中详细披露各项投资及损益情况。</w:t>
      </w:r>
    </w:p>
    <w:p>
      <w:pPr>
        <w:spacing w:line="360" w:lineRule="auto"/>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018</w:t>
      </w:r>
      <w:r>
        <w:rPr>
          <w:rFonts w:hint="eastAsia" w:ascii="宋体" w:hAnsi="宋体" w:eastAsia="宋体" w:cs="宋体"/>
          <w:color w:val="auto"/>
          <w:sz w:val="24"/>
          <w:highlight w:val="none"/>
        </w:rPr>
        <w:t>年度公司对外委托贷款本金</w:t>
      </w:r>
      <w:r>
        <w:rPr>
          <w:rFonts w:hint="eastAsia" w:ascii="宋体" w:hAnsi="宋体" w:eastAsia="宋体" w:cs="宋体"/>
          <w:color w:val="auto"/>
          <w:sz w:val="24"/>
          <w:highlight w:val="none"/>
          <w:lang w:val="en-US" w:eastAsia="zh-CN"/>
        </w:rPr>
        <w:t>12.95亿</w:t>
      </w:r>
      <w:r>
        <w:rPr>
          <w:rFonts w:hint="eastAsia" w:ascii="宋体" w:hAnsi="宋体" w:eastAsia="宋体" w:cs="宋体"/>
          <w:color w:val="auto"/>
          <w:sz w:val="24"/>
          <w:highlight w:val="none"/>
        </w:rPr>
        <w:t>元，期末委托贷款本金</w:t>
      </w:r>
      <w:r>
        <w:rPr>
          <w:rFonts w:hint="eastAsia" w:ascii="宋体" w:hAnsi="宋体" w:eastAsia="宋体" w:cs="宋体"/>
          <w:color w:val="auto"/>
          <w:sz w:val="24"/>
          <w:highlight w:val="none"/>
          <w:lang w:val="en-US" w:eastAsia="zh-CN"/>
        </w:rPr>
        <w:t>7.75亿</w:t>
      </w:r>
      <w:r>
        <w:rPr>
          <w:rFonts w:hint="eastAsia" w:ascii="宋体" w:hAnsi="宋体" w:eastAsia="宋体" w:cs="宋体"/>
          <w:color w:val="auto"/>
          <w:sz w:val="24"/>
          <w:highlight w:val="none"/>
        </w:rPr>
        <w:t>元，已严格按照相关规定进行审批，并制定了风险控制措施，风险可控。</w:t>
      </w:r>
    </w:p>
    <w:p>
      <w:pPr>
        <w:numPr>
          <w:ilvl w:val="0"/>
          <w:numId w:val="2"/>
        </w:numPr>
        <w:spacing w:line="360" w:lineRule="auto"/>
        <w:ind w:firstLine="482" w:firstLineChars="200"/>
        <w:outlineLvl w:val="0"/>
        <w:rPr>
          <w:rFonts w:ascii="宋体" w:hAnsi="宋体" w:eastAsia="宋体" w:cs="宋体"/>
          <w:b/>
          <w:bCs/>
          <w:color w:val="auto"/>
          <w:sz w:val="24"/>
          <w:highlight w:val="none"/>
        </w:rPr>
      </w:pPr>
      <w:r>
        <w:rPr>
          <w:rFonts w:hint="eastAsia" w:ascii="宋体" w:hAnsi="宋体" w:eastAsia="宋体" w:cs="宋体"/>
          <w:b/>
          <w:bCs/>
          <w:color w:val="auto"/>
          <w:sz w:val="24"/>
          <w:highlight w:val="none"/>
        </w:rPr>
        <w:t>结合上述委托贷款债务人的行业状况、经营情况、财务状况、涉诉情况、还款记录、担保物价值等因素，说明你公司坏账准备计提是否充分，是否符合《企业会计准则》的相关规定。</w:t>
      </w:r>
    </w:p>
    <w:p>
      <w:pPr>
        <w:spacing w:line="360" w:lineRule="auto"/>
        <w:ind w:firstLine="480"/>
        <w:outlineLvl w:val="0"/>
        <w:rPr>
          <w:rFonts w:hint="eastAsia" w:ascii="宋体" w:hAnsi="宋体" w:eastAsia="宋体" w:cs="宋体"/>
          <w:color w:val="auto"/>
          <w:sz w:val="24"/>
          <w:highlight w:val="none"/>
          <w:lang w:eastAsia="zh-CN"/>
        </w:rPr>
      </w:pPr>
      <w:r>
        <w:rPr>
          <w:rFonts w:ascii="宋体" w:hAnsi="宋体" w:eastAsia="宋体" w:cs="宋体"/>
          <w:color w:val="auto"/>
          <w:sz w:val="24"/>
          <w:highlight w:val="none"/>
        </w:rPr>
        <w:t>2018</w:t>
      </w:r>
      <w:r>
        <w:rPr>
          <w:rFonts w:hint="eastAsia" w:ascii="宋体" w:hAnsi="宋体" w:eastAsia="宋体" w:cs="宋体"/>
          <w:color w:val="auto"/>
          <w:sz w:val="24"/>
          <w:highlight w:val="none"/>
        </w:rPr>
        <w:t>年度公司期末委托贷款本金余额明细如下：</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单位：万元</w:t>
      </w:r>
    </w:p>
    <w:tbl>
      <w:tblPr>
        <w:tblStyle w:val="6"/>
        <w:tblW w:w="10100" w:type="dxa"/>
        <w:tblInd w:w="-49" w:type="dxa"/>
        <w:tblLayout w:type="fixed"/>
        <w:tblCellMar>
          <w:top w:w="0" w:type="dxa"/>
          <w:left w:w="108" w:type="dxa"/>
          <w:bottom w:w="0" w:type="dxa"/>
          <w:right w:w="108" w:type="dxa"/>
        </w:tblCellMar>
      </w:tblPr>
      <w:tblGrid>
        <w:gridCol w:w="1525"/>
        <w:gridCol w:w="1662"/>
        <w:gridCol w:w="1275"/>
        <w:gridCol w:w="875"/>
        <w:gridCol w:w="1200"/>
        <w:gridCol w:w="1675"/>
        <w:gridCol w:w="1888"/>
      </w:tblGrid>
      <w:tr>
        <w:tblPrEx>
          <w:tblLayout w:type="fixed"/>
          <w:tblCellMar>
            <w:top w:w="0" w:type="dxa"/>
            <w:left w:w="108" w:type="dxa"/>
            <w:bottom w:w="0" w:type="dxa"/>
            <w:right w:w="108" w:type="dxa"/>
          </w:tblCellMar>
        </w:tblPrEx>
        <w:trPr>
          <w:trHeight w:val="572" w:hRule="atLeast"/>
        </w:trPr>
        <w:tc>
          <w:tcPr>
            <w:tcW w:w="15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贷款对象</w:t>
            </w:r>
          </w:p>
        </w:tc>
        <w:tc>
          <w:tcPr>
            <w:tcW w:w="16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贷款对象的</w:t>
            </w:r>
          </w:p>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实际控制人</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委托银行</w:t>
            </w:r>
          </w:p>
        </w:tc>
        <w:tc>
          <w:tcPr>
            <w:tcW w:w="8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贷款利率(%)</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贷款金额</w:t>
            </w:r>
          </w:p>
        </w:tc>
        <w:tc>
          <w:tcPr>
            <w:tcW w:w="1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担保人</w:t>
            </w:r>
          </w:p>
        </w:tc>
        <w:tc>
          <w:tcPr>
            <w:tcW w:w="188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担保人的实际控制人</w:t>
            </w:r>
          </w:p>
        </w:tc>
      </w:tr>
      <w:tr>
        <w:tblPrEx>
          <w:tblLayout w:type="fixed"/>
          <w:tblCellMar>
            <w:top w:w="0" w:type="dxa"/>
            <w:left w:w="108" w:type="dxa"/>
            <w:bottom w:w="0" w:type="dxa"/>
            <w:right w:w="108" w:type="dxa"/>
          </w:tblCellMar>
        </w:tblPrEx>
        <w:trPr>
          <w:trHeight w:val="285" w:hRule="atLeast"/>
        </w:trPr>
        <w:tc>
          <w:tcPr>
            <w:tcW w:w="15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德清临杭建材有限公司</w:t>
            </w:r>
          </w:p>
        </w:tc>
        <w:tc>
          <w:tcPr>
            <w:tcW w:w="16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湖州莫干山高新技术产业开发区管理委员会</w:t>
            </w:r>
          </w:p>
        </w:tc>
        <w:tc>
          <w:tcPr>
            <w:tcW w:w="12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浦发银行湖州千清支行</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9.90</w:t>
            </w:r>
          </w:p>
        </w:tc>
        <w:tc>
          <w:tcPr>
            <w:tcW w:w="12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5</w:t>
            </w:r>
            <w:r>
              <w:rPr>
                <w:rFonts w:hint="eastAsia" w:ascii="宋体" w:hAnsi="宋体" w:eastAsia="宋体" w:cs="宋体"/>
                <w:color w:val="auto"/>
                <w:kern w:val="0"/>
                <w:sz w:val="20"/>
                <w:szCs w:val="20"/>
                <w:highlight w:val="none"/>
                <w:lang w:val="en-US" w:eastAsia="zh-CN"/>
              </w:rPr>
              <w:t>,</w:t>
            </w:r>
            <w:r>
              <w:rPr>
                <w:rFonts w:hint="eastAsia" w:ascii="宋体" w:hAnsi="宋体" w:eastAsia="宋体" w:cs="宋体"/>
                <w:color w:val="auto"/>
                <w:kern w:val="0"/>
                <w:sz w:val="20"/>
                <w:szCs w:val="20"/>
                <w:highlight w:val="none"/>
              </w:rPr>
              <w:t>8</w:t>
            </w:r>
            <w:r>
              <w:rPr>
                <w:rFonts w:hint="eastAsia" w:ascii="宋体" w:hAnsi="宋体" w:eastAsia="宋体" w:cs="宋体"/>
                <w:color w:val="auto"/>
                <w:kern w:val="0"/>
                <w:sz w:val="20"/>
                <w:szCs w:val="20"/>
                <w:highlight w:val="none"/>
                <w:lang w:val="en-US" w:eastAsia="zh-CN"/>
              </w:rPr>
              <w:t>00.</w:t>
            </w:r>
            <w:r>
              <w:rPr>
                <w:rFonts w:hint="eastAsia" w:ascii="宋体" w:hAnsi="宋体" w:eastAsia="宋体" w:cs="宋体"/>
                <w:color w:val="auto"/>
                <w:kern w:val="0"/>
                <w:sz w:val="20"/>
                <w:szCs w:val="20"/>
                <w:highlight w:val="none"/>
              </w:rPr>
              <w:t>00</w:t>
            </w:r>
          </w:p>
        </w:tc>
        <w:tc>
          <w:tcPr>
            <w:tcW w:w="1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德清联创科技新城建设有限公司</w:t>
            </w:r>
          </w:p>
        </w:tc>
        <w:tc>
          <w:tcPr>
            <w:tcW w:w="188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湖州莫干山高新技术产业开发区管理委员会</w:t>
            </w:r>
          </w:p>
        </w:tc>
      </w:tr>
      <w:tr>
        <w:tblPrEx>
          <w:tblLayout w:type="fixed"/>
          <w:tblCellMar>
            <w:top w:w="0" w:type="dxa"/>
            <w:left w:w="108" w:type="dxa"/>
            <w:bottom w:w="0" w:type="dxa"/>
            <w:right w:w="108" w:type="dxa"/>
          </w:tblCellMar>
        </w:tblPrEx>
        <w:trPr>
          <w:trHeight w:val="285" w:hRule="atLeast"/>
        </w:trPr>
        <w:tc>
          <w:tcPr>
            <w:tcW w:w="15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德清县城市建设发展总公司</w:t>
            </w:r>
          </w:p>
        </w:tc>
        <w:tc>
          <w:tcPr>
            <w:tcW w:w="16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德清县人民政府</w:t>
            </w:r>
          </w:p>
        </w:tc>
        <w:tc>
          <w:tcPr>
            <w:tcW w:w="12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浦发银行德清支行</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8.00</w:t>
            </w:r>
          </w:p>
        </w:tc>
        <w:tc>
          <w:tcPr>
            <w:tcW w:w="12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8</w:t>
            </w:r>
            <w:r>
              <w:rPr>
                <w:rFonts w:hint="eastAsia" w:ascii="宋体" w:hAnsi="宋体" w:eastAsia="宋体" w:cs="宋体"/>
                <w:color w:val="auto"/>
                <w:kern w:val="0"/>
                <w:sz w:val="20"/>
                <w:szCs w:val="20"/>
                <w:highlight w:val="none"/>
                <w:lang w:val="en-US" w:eastAsia="zh-CN"/>
              </w:rPr>
              <w:t>,</w:t>
            </w:r>
            <w:r>
              <w:rPr>
                <w:rFonts w:hint="eastAsia" w:ascii="宋体" w:hAnsi="宋体" w:eastAsia="宋体" w:cs="宋体"/>
                <w:color w:val="auto"/>
                <w:kern w:val="0"/>
                <w:sz w:val="20"/>
                <w:szCs w:val="20"/>
                <w:highlight w:val="none"/>
              </w:rPr>
              <w:t>000.00</w:t>
            </w:r>
          </w:p>
        </w:tc>
        <w:tc>
          <w:tcPr>
            <w:tcW w:w="1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德清县恒达建设发展有限公司</w:t>
            </w:r>
          </w:p>
        </w:tc>
        <w:tc>
          <w:tcPr>
            <w:tcW w:w="188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德清县国有资产管理委员会办公室</w:t>
            </w:r>
          </w:p>
        </w:tc>
      </w:tr>
      <w:tr>
        <w:tblPrEx>
          <w:tblLayout w:type="fixed"/>
          <w:tblCellMar>
            <w:top w:w="0" w:type="dxa"/>
            <w:left w:w="108" w:type="dxa"/>
            <w:bottom w:w="0" w:type="dxa"/>
            <w:right w:w="108" w:type="dxa"/>
          </w:tblCellMar>
        </w:tblPrEx>
        <w:trPr>
          <w:trHeight w:val="285" w:hRule="atLeast"/>
        </w:trPr>
        <w:tc>
          <w:tcPr>
            <w:tcW w:w="15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德清县城市建设发展总公司</w:t>
            </w:r>
          </w:p>
        </w:tc>
        <w:tc>
          <w:tcPr>
            <w:tcW w:w="16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bookmarkStart w:id="0" w:name="_Hlk6652072"/>
            <w:r>
              <w:rPr>
                <w:rFonts w:hint="eastAsia" w:ascii="宋体" w:hAnsi="宋体" w:eastAsia="宋体" w:cs="宋体"/>
                <w:color w:val="auto"/>
                <w:kern w:val="0"/>
                <w:sz w:val="20"/>
                <w:szCs w:val="20"/>
                <w:highlight w:val="none"/>
              </w:rPr>
              <w:t>德清县人民政府</w:t>
            </w:r>
            <w:bookmarkEnd w:id="0"/>
          </w:p>
        </w:tc>
        <w:tc>
          <w:tcPr>
            <w:tcW w:w="12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中国工商银行德清支行</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9.30</w:t>
            </w:r>
          </w:p>
        </w:tc>
        <w:tc>
          <w:tcPr>
            <w:tcW w:w="12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w:t>
            </w:r>
            <w:r>
              <w:rPr>
                <w:rFonts w:hint="eastAsia" w:ascii="宋体" w:hAnsi="宋体" w:eastAsia="宋体" w:cs="宋体"/>
                <w:color w:val="auto"/>
                <w:kern w:val="0"/>
                <w:sz w:val="20"/>
                <w:szCs w:val="20"/>
                <w:highlight w:val="none"/>
                <w:lang w:val="en-US" w:eastAsia="zh-CN"/>
              </w:rPr>
              <w:t>,</w:t>
            </w:r>
            <w:r>
              <w:rPr>
                <w:rFonts w:hint="eastAsia" w:ascii="宋体" w:hAnsi="宋体" w:eastAsia="宋体" w:cs="宋体"/>
                <w:color w:val="auto"/>
                <w:kern w:val="0"/>
                <w:sz w:val="20"/>
                <w:szCs w:val="20"/>
                <w:highlight w:val="none"/>
              </w:rPr>
              <w:t>000.00</w:t>
            </w:r>
          </w:p>
        </w:tc>
        <w:tc>
          <w:tcPr>
            <w:tcW w:w="1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德清县城市投资开发有限公司</w:t>
            </w:r>
          </w:p>
        </w:tc>
        <w:tc>
          <w:tcPr>
            <w:tcW w:w="188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德清县国有资产管理委员会办公室</w:t>
            </w:r>
          </w:p>
        </w:tc>
      </w:tr>
      <w:tr>
        <w:tblPrEx>
          <w:tblLayout w:type="fixed"/>
          <w:tblCellMar>
            <w:top w:w="0" w:type="dxa"/>
            <w:left w:w="108" w:type="dxa"/>
            <w:bottom w:w="0" w:type="dxa"/>
            <w:right w:w="108" w:type="dxa"/>
          </w:tblCellMar>
        </w:tblPrEx>
        <w:trPr>
          <w:trHeight w:val="285" w:hRule="atLeast"/>
        </w:trPr>
        <w:tc>
          <w:tcPr>
            <w:tcW w:w="15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德清县杭宁城际铁路投资有限公司</w:t>
            </w:r>
          </w:p>
        </w:tc>
        <w:tc>
          <w:tcPr>
            <w:tcW w:w="16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德清县国有资产管理委员会办公室</w:t>
            </w:r>
          </w:p>
        </w:tc>
        <w:tc>
          <w:tcPr>
            <w:tcW w:w="12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浙商银行湖州分行</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9.90</w:t>
            </w:r>
          </w:p>
        </w:tc>
        <w:tc>
          <w:tcPr>
            <w:tcW w:w="12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5</w:t>
            </w:r>
            <w:r>
              <w:rPr>
                <w:rFonts w:hint="eastAsia" w:ascii="宋体" w:hAnsi="宋体" w:eastAsia="宋体" w:cs="宋体"/>
                <w:color w:val="auto"/>
                <w:kern w:val="0"/>
                <w:sz w:val="20"/>
                <w:szCs w:val="20"/>
                <w:highlight w:val="none"/>
                <w:lang w:val="en-US" w:eastAsia="zh-CN"/>
              </w:rPr>
              <w:t>,</w:t>
            </w:r>
            <w:r>
              <w:rPr>
                <w:rFonts w:hint="eastAsia" w:ascii="宋体" w:hAnsi="宋体" w:eastAsia="宋体" w:cs="宋体"/>
                <w:color w:val="auto"/>
                <w:kern w:val="0"/>
                <w:sz w:val="20"/>
                <w:szCs w:val="20"/>
                <w:highlight w:val="none"/>
              </w:rPr>
              <w:t>000.00</w:t>
            </w:r>
          </w:p>
        </w:tc>
        <w:tc>
          <w:tcPr>
            <w:tcW w:w="1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浙江省德清县交通投资集团有限公司</w:t>
            </w:r>
          </w:p>
        </w:tc>
        <w:tc>
          <w:tcPr>
            <w:tcW w:w="188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德清县国有资产管理委员会办公室</w:t>
            </w:r>
          </w:p>
        </w:tc>
      </w:tr>
      <w:tr>
        <w:tblPrEx>
          <w:tblLayout w:type="fixed"/>
          <w:tblCellMar>
            <w:top w:w="0" w:type="dxa"/>
            <w:left w:w="108" w:type="dxa"/>
            <w:bottom w:w="0" w:type="dxa"/>
            <w:right w:w="108" w:type="dxa"/>
          </w:tblCellMar>
        </w:tblPrEx>
        <w:trPr>
          <w:trHeight w:val="285" w:hRule="atLeast"/>
        </w:trPr>
        <w:tc>
          <w:tcPr>
            <w:tcW w:w="15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德清县杭宁城际铁路投资有限公司</w:t>
            </w:r>
          </w:p>
        </w:tc>
        <w:tc>
          <w:tcPr>
            <w:tcW w:w="16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德清县国有资产管理委员会办公室</w:t>
            </w:r>
          </w:p>
        </w:tc>
        <w:tc>
          <w:tcPr>
            <w:tcW w:w="12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中国工商银行德清支行</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9.90</w:t>
            </w:r>
          </w:p>
        </w:tc>
        <w:tc>
          <w:tcPr>
            <w:tcW w:w="12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w:t>
            </w:r>
            <w:r>
              <w:rPr>
                <w:rFonts w:hint="eastAsia" w:ascii="宋体" w:hAnsi="宋体" w:eastAsia="宋体" w:cs="宋体"/>
                <w:color w:val="auto"/>
                <w:kern w:val="0"/>
                <w:sz w:val="20"/>
                <w:szCs w:val="20"/>
                <w:highlight w:val="none"/>
                <w:lang w:val="en-US" w:eastAsia="zh-CN"/>
              </w:rPr>
              <w:t>,</w:t>
            </w:r>
            <w:r>
              <w:rPr>
                <w:rFonts w:hint="eastAsia" w:ascii="宋体" w:hAnsi="宋体" w:eastAsia="宋体" w:cs="宋体"/>
                <w:color w:val="auto"/>
                <w:kern w:val="0"/>
                <w:sz w:val="20"/>
                <w:szCs w:val="20"/>
                <w:highlight w:val="none"/>
              </w:rPr>
              <w:t>000.00</w:t>
            </w:r>
          </w:p>
        </w:tc>
        <w:tc>
          <w:tcPr>
            <w:tcW w:w="1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浙江省德清县交通投资集团有限公司</w:t>
            </w:r>
          </w:p>
        </w:tc>
        <w:tc>
          <w:tcPr>
            <w:tcW w:w="188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德清县国有资产管理委员会办公室</w:t>
            </w:r>
          </w:p>
        </w:tc>
      </w:tr>
      <w:tr>
        <w:tblPrEx>
          <w:tblLayout w:type="fixed"/>
          <w:tblCellMar>
            <w:top w:w="0" w:type="dxa"/>
            <w:left w:w="108" w:type="dxa"/>
            <w:bottom w:w="0" w:type="dxa"/>
            <w:right w:w="108" w:type="dxa"/>
          </w:tblCellMar>
        </w:tblPrEx>
        <w:trPr>
          <w:trHeight w:val="285" w:hRule="atLeast"/>
        </w:trPr>
        <w:tc>
          <w:tcPr>
            <w:tcW w:w="15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德清县杭宁城际铁路投资有限公司</w:t>
            </w:r>
          </w:p>
        </w:tc>
        <w:tc>
          <w:tcPr>
            <w:tcW w:w="16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德清县国有资产管理委员会办公室</w:t>
            </w:r>
          </w:p>
        </w:tc>
        <w:tc>
          <w:tcPr>
            <w:tcW w:w="12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浙商银行德清支行</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9.90</w:t>
            </w:r>
          </w:p>
        </w:tc>
        <w:tc>
          <w:tcPr>
            <w:tcW w:w="12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12</w:t>
            </w:r>
            <w:r>
              <w:rPr>
                <w:rFonts w:hint="eastAsia" w:ascii="宋体" w:hAnsi="宋体" w:eastAsia="宋体" w:cs="宋体"/>
                <w:color w:val="auto"/>
                <w:kern w:val="0"/>
                <w:sz w:val="20"/>
                <w:szCs w:val="20"/>
                <w:highlight w:val="none"/>
                <w:lang w:val="en-US" w:eastAsia="zh-CN"/>
              </w:rPr>
              <w:t>,</w:t>
            </w:r>
            <w:r>
              <w:rPr>
                <w:rFonts w:hint="eastAsia" w:ascii="宋体" w:hAnsi="宋体" w:eastAsia="宋体" w:cs="宋体"/>
                <w:color w:val="auto"/>
                <w:kern w:val="0"/>
                <w:sz w:val="20"/>
                <w:szCs w:val="20"/>
                <w:highlight w:val="none"/>
              </w:rPr>
              <w:t>000.00</w:t>
            </w:r>
          </w:p>
        </w:tc>
        <w:tc>
          <w:tcPr>
            <w:tcW w:w="1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浙江省德清县交通投资集团有限公司</w:t>
            </w:r>
          </w:p>
        </w:tc>
        <w:tc>
          <w:tcPr>
            <w:tcW w:w="188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德清县国有资产管理委员会办公室</w:t>
            </w:r>
          </w:p>
        </w:tc>
      </w:tr>
      <w:tr>
        <w:tblPrEx>
          <w:tblLayout w:type="fixed"/>
          <w:tblCellMar>
            <w:top w:w="0" w:type="dxa"/>
            <w:left w:w="108" w:type="dxa"/>
            <w:bottom w:w="0" w:type="dxa"/>
            <w:right w:w="108" w:type="dxa"/>
          </w:tblCellMar>
        </w:tblPrEx>
        <w:trPr>
          <w:trHeight w:val="285" w:hRule="atLeast"/>
        </w:trPr>
        <w:tc>
          <w:tcPr>
            <w:tcW w:w="15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浙江德清通航机场有限公司</w:t>
            </w:r>
          </w:p>
        </w:tc>
        <w:tc>
          <w:tcPr>
            <w:tcW w:w="16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bookmarkStart w:id="1" w:name="_Hlk6652104"/>
            <w:r>
              <w:rPr>
                <w:rFonts w:hint="eastAsia" w:ascii="宋体" w:hAnsi="宋体" w:eastAsia="宋体" w:cs="宋体"/>
                <w:color w:val="auto"/>
                <w:kern w:val="0"/>
                <w:sz w:val="20"/>
                <w:szCs w:val="20"/>
                <w:highlight w:val="none"/>
              </w:rPr>
              <w:t>湖州莫干山高新技术产业开发区管理委员会</w:t>
            </w:r>
            <w:bookmarkEnd w:id="1"/>
          </w:p>
        </w:tc>
        <w:tc>
          <w:tcPr>
            <w:tcW w:w="12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中国工商银行德清支行</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9.90</w:t>
            </w:r>
          </w:p>
        </w:tc>
        <w:tc>
          <w:tcPr>
            <w:tcW w:w="12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26</w:t>
            </w:r>
            <w:r>
              <w:rPr>
                <w:rFonts w:hint="eastAsia" w:ascii="宋体" w:hAnsi="宋体" w:eastAsia="宋体" w:cs="宋体"/>
                <w:color w:val="auto"/>
                <w:kern w:val="0"/>
                <w:sz w:val="20"/>
                <w:szCs w:val="20"/>
                <w:highlight w:val="none"/>
                <w:lang w:val="en-US" w:eastAsia="zh-CN"/>
              </w:rPr>
              <w:t>,</w:t>
            </w:r>
            <w:r>
              <w:rPr>
                <w:rFonts w:ascii="宋体" w:hAnsi="宋体" w:eastAsia="宋体" w:cs="宋体"/>
                <w:color w:val="auto"/>
                <w:kern w:val="0"/>
                <w:sz w:val="20"/>
                <w:szCs w:val="20"/>
                <w:highlight w:val="none"/>
              </w:rPr>
              <w:t>7</w:t>
            </w:r>
            <w:r>
              <w:rPr>
                <w:rFonts w:hint="eastAsia" w:ascii="宋体" w:hAnsi="宋体" w:eastAsia="宋体" w:cs="宋体"/>
                <w:color w:val="auto"/>
                <w:kern w:val="0"/>
                <w:sz w:val="20"/>
                <w:szCs w:val="20"/>
                <w:highlight w:val="none"/>
              </w:rPr>
              <w:t>00.00</w:t>
            </w:r>
          </w:p>
        </w:tc>
        <w:tc>
          <w:tcPr>
            <w:tcW w:w="1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德清同创建设发展有限公司</w:t>
            </w:r>
          </w:p>
        </w:tc>
        <w:tc>
          <w:tcPr>
            <w:tcW w:w="188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湖州莫干山高新技术产业开发区管理委员会</w:t>
            </w:r>
          </w:p>
        </w:tc>
      </w:tr>
      <w:tr>
        <w:tblPrEx>
          <w:tblLayout w:type="fixed"/>
          <w:tblCellMar>
            <w:top w:w="0" w:type="dxa"/>
            <w:left w:w="108" w:type="dxa"/>
            <w:bottom w:w="0" w:type="dxa"/>
            <w:right w:w="108" w:type="dxa"/>
          </w:tblCellMar>
        </w:tblPrEx>
        <w:trPr>
          <w:trHeight w:val="589" w:hRule="atLeast"/>
        </w:trPr>
        <w:tc>
          <w:tcPr>
            <w:tcW w:w="15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合计</w:t>
            </w:r>
          </w:p>
        </w:tc>
        <w:tc>
          <w:tcPr>
            <w:tcW w:w="166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8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77</w:t>
            </w:r>
            <w:r>
              <w:rPr>
                <w:rFonts w:hint="eastAsia" w:ascii="宋体" w:hAnsi="宋体" w:eastAsia="宋体" w:cs="宋体"/>
                <w:color w:val="auto"/>
                <w:kern w:val="0"/>
                <w:sz w:val="20"/>
                <w:szCs w:val="20"/>
                <w:highlight w:val="none"/>
                <w:lang w:val="en-US" w:eastAsia="zh-CN"/>
              </w:rPr>
              <w:t>,</w:t>
            </w:r>
            <w:r>
              <w:rPr>
                <w:rFonts w:hint="eastAsia" w:ascii="宋体" w:hAnsi="宋体" w:eastAsia="宋体" w:cs="宋体"/>
                <w:color w:val="auto"/>
                <w:kern w:val="0"/>
                <w:sz w:val="20"/>
                <w:szCs w:val="20"/>
                <w:highlight w:val="none"/>
              </w:rPr>
              <w:t>500.00</w:t>
            </w:r>
          </w:p>
        </w:tc>
        <w:tc>
          <w:tcPr>
            <w:tcW w:w="167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88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auto"/>
                <w:kern w:val="0"/>
                <w:sz w:val="20"/>
                <w:szCs w:val="20"/>
                <w:highlight w:val="none"/>
              </w:rPr>
            </w:pPr>
          </w:p>
        </w:tc>
      </w:tr>
    </w:tbl>
    <w:p>
      <w:pPr>
        <w:spacing w:line="360" w:lineRule="auto"/>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上述委托贷款对象主要系</w:t>
      </w:r>
      <w:bookmarkStart w:id="2" w:name="_Hlk6652632"/>
      <w:r>
        <w:rPr>
          <w:rFonts w:hint="eastAsia" w:ascii="宋体" w:hAnsi="宋体" w:eastAsia="宋体" w:cs="宋体"/>
          <w:color w:val="auto"/>
          <w:sz w:val="24"/>
          <w:highlight w:val="none"/>
        </w:rPr>
        <w:t>受湖州莫干山高新技术产业开发区管理委员会、德清县人民政府或德清县国有资产管理委员会办公室控制的国有企业</w:t>
      </w:r>
      <w:bookmarkEnd w:id="2"/>
      <w:r>
        <w:rPr>
          <w:rFonts w:hint="eastAsia" w:ascii="宋体" w:hAnsi="宋体" w:eastAsia="宋体" w:cs="宋体"/>
          <w:color w:val="auto"/>
          <w:sz w:val="24"/>
          <w:highlight w:val="none"/>
        </w:rPr>
        <w:t>，主要从事城市交通项目建设投资，经营情况正常，财务状况良好，</w:t>
      </w:r>
      <w:r>
        <w:rPr>
          <w:rFonts w:hint="eastAsia" w:ascii="宋体" w:hAnsi="宋体" w:eastAsia="宋体" w:cs="宋体"/>
          <w:color w:val="auto"/>
          <w:sz w:val="24"/>
          <w:highlight w:val="none"/>
          <w:lang w:val="en-US" w:eastAsia="zh-CN"/>
        </w:rPr>
        <w:t>通过与上述企业沟通并查询相关信息，没有发现以上企业存在涉及诉讼、执行等情况，不存在逾期还款的情况</w:t>
      </w:r>
      <w:r>
        <w:rPr>
          <w:rFonts w:hint="eastAsia" w:ascii="宋体" w:hAnsi="宋体" w:eastAsia="宋体" w:cs="宋体"/>
          <w:color w:val="auto"/>
          <w:sz w:val="24"/>
          <w:highlight w:val="none"/>
        </w:rPr>
        <w:t>。上述委托贷款由受湖州莫干山高新技术产业开发区管理委员会、德清县人民政府或德清县国有资产管理委员会办公室控制的其他国有企业提供担保，若委托贷款对象无力偿还委托贷款及利息，担保方无条件偿还该笔委托贷款及利息。</w:t>
      </w:r>
    </w:p>
    <w:p>
      <w:pPr>
        <w:spacing w:line="360" w:lineRule="auto"/>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截至201</w:t>
      </w:r>
      <w:r>
        <w:rPr>
          <w:rFonts w:ascii="宋体" w:hAnsi="宋体" w:eastAsia="宋体" w:cs="宋体"/>
          <w:color w:val="auto"/>
          <w:sz w:val="24"/>
          <w:highlight w:val="none"/>
        </w:rPr>
        <w:t>8</w:t>
      </w:r>
      <w:r>
        <w:rPr>
          <w:rFonts w:hint="eastAsia" w:ascii="宋体" w:hAnsi="宋体" w:eastAsia="宋体" w:cs="宋体"/>
          <w:color w:val="auto"/>
          <w:sz w:val="24"/>
          <w:highlight w:val="none"/>
        </w:rPr>
        <w:t>年12月31日止，委托贷款对象均已按相关合同约定，偿还贷款本金</w:t>
      </w:r>
      <w:r>
        <w:rPr>
          <w:rFonts w:hint="eastAsia" w:ascii="宋体" w:hAnsi="宋体" w:eastAsia="宋体" w:cs="宋体"/>
          <w:color w:val="auto"/>
          <w:sz w:val="24"/>
          <w:highlight w:val="none"/>
          <w:lang w:val="en-US" w:eastAsia="zh-CN"/>
        </w:rPr>
        <w:t>14.35亿</w:t>
      </w:r>
      <w:r>
        <w:rPr>
          <w:rFonts w:hint="eastAsia" w:ascii="宋体" w:hAnsi="宋体" w:eastAsia="宋体" w:cs="宋体"/>
          <w:color w:val="auto"/>
          <w:sz w:val="24"/>
          <w:highlight w:val="none"/>
        </w:rPr>
        <w:t>元，利息</w:t>
      </w:r>
      <w:r>
        <w:rPr>
          <w:rFonts w:ascii="宋体" w:hAnsi="宋体" w:eastAsia="宋体" w:cs="宋体"/>
          <w:color w:val="auto"/>
          <w:sz w:val="24"/>
          <w:highlight w:val="none"/>
        </w:rPr>
        <w:t>6</w:t>
      </w:r>
      <w:r>
        <w:rPr>
          <w:rFonts w:hint="eastAsia" w:ascii="宋体" w:hAnsi="宋体" w:eastAsia="宋体" w:cs="宋体"/>
          <w:color w:val="auto"/>
          <w:sz w:val="24"/>
          <w:highlight w:val="none"/>
          <w:lang w:val="en-US" w:eastAsia="zh-CN"/>
        </w:rPr>
        <w:t>,</w:t>
      </w:r>
      <w:r>
        <w:rPr>
          <w:rFonts w:ascii="宋体" w:hAnsi="宋体" w:eastAsia="宋体" w:cs="宋体"/>
          <w:color w:val="auto"/>
          <w:sz w:val="24"/>
          <w:highlight w:val="none"/>
        </w:rPr>
        <w:t>415</w:t>
      </w:r>
      <w:r>
        <w:rPr>
          <w:rFonts w:hint="eastAsia" w:ascii="宋体" w:hAnsi="宋体" w:eastAsia="宋体" w:cs="宋体"/>
          <w:color w:val="auto"/>
          <w:sz w:val="24"/>
          <w:highlight w:val="none"/>
          <w:lang w:val="en-US" w:eastAsia="zh-CN"/>
        </w:rPr>
        <w:t>.40万</w:t>
      </w:r>
      <w:r>
        <w:rPr>
          <w:rFonts w:hint="eastAsia" w:ascii="宋体" w:hAnsi="宋体" w:eastAsia="宋体" w:cs="宋体"/>
          <w:color w:val="auto"/>
          <w:sz w:val="24"/>
          <w:highlight w:val="none"/>
        </w:rPr>
        <w:t>元，并检查期后还款付息，履约情况良好。</w:t>
      </w:r>
    </w:p>
    <w:p>
      <w:pPr>
        <w:spacing w:line="360" w:lineRule="auto"/>
        <w:outlineLvl w:val="0"/>
        <w:rPr>
          <w:rFonts w:ascii="宋体" w:hAnsi="宋体" w:eastAsia="宋体" w:cs="宋体"/>
          <w:color w:val="auto"/>
          <w:sz w:val="24"/>
          <w:highlight w:val="none"/>
        </w:rPr>
      </w:pPr>
      <w:r>
        <w:rPr>
          <w:rFonts w:ascii="宋体" w:hAnsi="宋体" w:eastAsia="宋体" w:cs="宋体"/>
          <w:color w:val="auto"/>
          <w:sz w:val="24"/>
          <w:highlight w:val="none"/>
        </w:rPr>
        <w:t xml:space="preserve">    </w:t>
      </w:r>
      <w:r>
        <w:rPr>
          <w:rFonts w:hint="eastAsia" w:ascii="宋体" w:hAnsi="宋体" w:eastAsia="宋体" w:cs="宋体"/>
          <w:color w:val="auto"/>
          <w:sz w:val="24"/>
          <w:highlight w:val="none"/>
        </w:rPr>
        <w:t>综上所述，公司未对该笔委托贷款计提减值准备是合理的。</w:t>
      </w:r>
    </w:p>
    <w:p>
      <w:pPr>
        <w:numPr>
          <w:ilvl w:val="0"/>
          <w:numId w:val="2"/>
        </w:numPr>
        <w:spacing w:line="360" w:lineRule="auto"/>
        <w:ind w:firstLine="482" w:firstLineChars="200"/>
        <w:outlineLvl w:val="0"/>
        <w:rPr>
          <w:rFonts w:ascii="宋体" w:hAnsi="宋体" w:eastAsia="宋体" w:cs="宋体"/>
          <w:b/>
          <w:bCs/>
          <w:color w:val="auto"/>
          <w:sz w:val="24"/>
          <w:highlight w:val="none"/>
        </w:rPr>
      </w:pPr>
      <w:r>
        <w:rPr>
          <w:rFonts w:hint="eastAsia" w:ascii="宋体" w:hAnsi="宋体" w:eastAsia="宋体" w:cs="宋体"/>
          <w:b/>
          <w:bCs/>
          <w:color w:val="auto"/>
          <w:sz w:val="24"/>
          <w:highlight w:val="none"/>
        </w:rPr>
        <w:t>结合利润来源，说明你公司是否存在对委托贷款投资收益的重大依赖。</w:t>
      </w:r>
    </w:p>
    <w:p>
      <w:pPr>
        <w:spacing w:line="360" w:lineRule="auto"/>
        <w:ind w:left="0" w:leftChars="0"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回答：</w:t>
      </w:r>
    </w:p>
    <w:p>
      <w:pPr>
        <w:spacing w:line="360" w:lineRule="auto"/>
        <w:ind w:left="0" w:leftChars="0"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2018年公司归属于母公司净利润为33，085.14</w:t>
      </w:r>
      <w:r>
        <w:rPr>
          <w:rFonts w:hint="eastAsia" w:ascii="宋体" w:hAnsi="宋体" w:eastAsia="宋体" w:cs="宋体"/>
          <w:color w:val="auto"/>
          <w:sz w:val="24"/>
          <w:highlight w:val="none"/>
          <w:lang w:val="en-US" w:eastAsia="zh-CN"/>
        </w:rPr>
        <w:t>万</w:t>
      </w:r>
      <w:r>
        <w:rPr>
          <w:rFonts w:hint="eastAsia" w:ascii="宋体" w:hAnsi="宋体" w:eastAsia="宋体" w:cs="宋体"/>
          <w:color w:val="auto"/>
          <w:sz w:val="24"/>
          <w:highlight w:val="none"/>
        </w:rPr>
        <w:t>元</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委托贷款投资收益</w:t>
      </w:r>
      <w:r>
        <w:rPr>
          <w:rFonts w:ascii="宋体" w:hAnsi="宋体" w:eastAsia="宋体" w:cs="宋体"/>
          <w:color w:val="auto"/>
          <w:sz w:val="24"/>
          <w:highlight w:val="none"/>
        </w:rPr>
        <w:t>6</w:t>
      </w:r>
      <w:r>
        <w:rPr>
          <w:rFonts w:hint="eastAsia" w:ascii="宋体" w:hAnsi="宋体" w:eastAsia="宋体" w:cs="宋体"/>
          <w:color w:val="auto"/>
          <w:sz w:val="24"/>
          <w:highlight w:val="none"/>
          <w:lang w:val="en-US" w:eastAsia="zh-CN"/>
        </w:rPr>
        <w:t>,</w:t>
      </w:r>
      <w:r>
        <w:rPr>
          <w:rFonts w:ascii="宋体" w:hAnsi="宋体" w:eastAsia="宋体" w:cs="宋体"/>
          <w:color w:val="auto"/>
          <w:sz w:val="24"/>
          <w:highlight w:val="none"/>
        </w:rPr>
        <w:t>448</w:t>
      </w:r>
      <w:r>
        <w:rPr>
          <w:rFonts w:hint="eastAsia" w:ascii="宋体" w:hAnsi="宋体" w:eastAsia="宋体" w:cs="宋体"/>
          <w:color w:val="auto"/>
          <w:sz w:val="24"/>
          <w:highlight w:val="none"/>
          <w:lang w:val="en-US" w:eastAsia="zh-CN"/>
        </w:rPr>
        <w:t>.</w:t>
      </w:r>
      <w:r>
        <w:rPr>
          <w:rFonts w:ascii="宋体" w:hAnsi="宋体" w:eastAsia="宋体" w:cs="宋体"/>
          <w:color w:val="auto"/>
          <w:sz w:val="24"/>
          <w:highlight w:val="none"/>
        </w:rPr>
        <w:t>6</w:t>
      </w:r>
      <w:r>
        <w:rPr>
          <w:rFonts w:hint="eastAsia" w:ascii="宋体" w:hAnsi="宋体" w:eastAsia="宋体" w:cs="宋体"/>
          <w:color w:val="auto"/>
          <w:sz w:val="24"/>
          <w:highlight w:val="none"/>
          <w:lang w:val="en-US" w:eastAsia="zh-CN"/>
        </w:rPr>
        <w:t>1万</w:t>
      </w:r>
      <w:r>
        <w:rPr>
          <w:rFonts w:hint="eastAsia" w:ascii="宋体" w:hAnsi="宋体" w:eastAsia="宋体" w:cs="宋体"/>
          <w:color w:val="auto"/>
          <w:sz w:val="24"/>
          <w:highlight w:val="none"/>
        </w:rPr>
        <w:t>元，委托贷款投资收益占2</w:t>
      </w:r>
      <w:r>
        <w:rPr>
          <w:rFonts w:ascii="宋体" w:hAnsi="宋体" w:eastAsia="宋体" w:cs="宋体"/>
          <w:color w:val="auto"/>
          <w:sz w:val="24"/>
          <w:highlight w:val="none"/>
        </w:rPr>
        <w:t>018</w:t>
      </w:r>
      <w:r>
        <w:rPr>
          <w:rFonts w:hint="eastAsia" w:ascii="宋体" w:hAnsi="宋体" w:eastAsia="宋体" w:cs="宋体"/>
          <w:color w:val="auto"/>
          <w:sz w:val="24"/>
          <w:highlight w:val="none"/>
        </w:rPr>
        <w:t>年度净利率为</w:t>
      </w:r>
      <w:r>
        <w:rPr>
          <w:rFonts w:ascii="宋体" w:hAnsi="宋体" w:eastAsia="宋体" w:cs="宋体"/>
          <w:color w:val="auto"/>
          <w:sz w:val="24"/>
          <w:highlight w:val="none"/>
        </w:rPr>
        <w:t>19.</w:t>
      </w:r>
      <w:r>
        <w:rPr>
          <w:rFonts w:hint="eastAsia" w:ascii="宋体" w:hAnsi="宋体" w:eastAsia="宋体" w:cs="宋体"/>
          <w:color w:val="auto"/>
          <w:sz w:val="24"/>
          <w:highlight w:val="none"/>
          <w:lang w:val="en-US" w:eastAsia="zh-CN"/>
        </w:rPr>
        <w:t>49</w:t>
      </w:r>
      <w:r>
        <w:rPr>
          <w:rFonts w:ascii="宋体" w:hAnsi="宋体" w:eastAsia="宋体" w:cs="宋体"/>
          <w:color w:val="auto"/>
          <w:sz w:val="24"/>
          <w:highlight w:val="none"/>
        </w:rPr>
        <w:t>%</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公司营业收入近三年分别为26.77亿元、41.20亿元、43.06亿元，相应的营业毛利分别为5.19亿元、7.11亿元、7.18亿元，公司营业收入和营业毛利均呈现逐年上升的态势，公司经营情况良好，且委托贷款比年初有所下降，不存在对委托贷款投资收益的重大依赖。</w:t>
      </w:r>
    </w:p>
    <w:p>
      <w:pPr>
        <w:spacing w:line="360" w:lineRule="auto"/>
        <w:ind w:left="420" w:leftChars="200" w:firstLine="480" w:firstLineChars="200"/>
        <w:outlineLvl w:val="0"/>
        <w:rPr>
          <w:rFonts w:hint="eastAsia" w:ascii="宋体" w:hAnsi="宋体" w:eastAsia="宋体" w:cs="宋体"/>
          <w:color w:val="auto"/>
          <w:sz w:val="24"/>
          <w:highlight w:val="none"/>
        </w:rPr>
      </w:pPr>
    </w:p>
    <w:p>
      <w:pPr>
        <w:spacing w:line="360" w:lineRule="auto"/>
        <w:ind w:firstLine="482" w:firstLineChars="200"/>
        <w:outlineLvl w:val="0"/>
        <w:rPr>
          <w:rFonts w:ascii="宋体" w:hAnsi="宋体" w:eastAsia="宋体" w:cs="宋体"/>
          <w:b/>
          <w:bCs/>
          <w:color w:val="auto"/>
          <w:sz w:val="24"/>
          <w:highlight w:val="none"/>
        </w:rPr>
      </w:pPr>
      <w:r>
        <w:rPr>
          <w:rFonts w:hint="eastAsia" w:ascii="宋体" w:hAnsi="宋体" w:eastAsia="宋体" w:cs="宋体"/>
          <w:b/>
          <w:bCs/>
          <w:color w:val="auto"/>
          <w:sz w:val="24"/>
          <w:highlight w:val="none"/>
        </w:rPr>
        <w:t>3、报告期末，你公司存货账面余额为31,760.35万元，跌价准备账面余额为565.78万元。其中，原材料的期末账面余额为5,555.99万元，计提跌价准备133.65万元；库存商品的期末账面余额为14,543.61万元，计提跌价准备432.12万元。请结合产品分类、产品价格、原材料采购价格的变动情况等因素，说明</w:t>
      </w:r>
      <w:bookmarkStart w:id="3" w:name="_Hlk6584084"/>
      <w:r>
        <w:rPr>
          <w:rFonts w:hint="eastAsia" w:ascii="宋体" w:hAnsi="宋体" w:eastAsia="宋体" w:cs="宋体"/>
          <w:b/>
          <w:bCs/>
          <w:color w:val="auto"/>
          <w:sz w:val="24"/>
          <w:highlight w:val="none"/>
        </w:rPr>
        <w:t>存货跌价准备计提的依据</w:t>
      </w:r>
      <w:bookmarkEnd w:id="3"/>
      <w:r>
        <w:rPr>
          <w:rFonts w:hint="eastAsia" w:ascii="宋体" w:hAnsi="宋体" w:eastAsia="宋体" w:cs="宋体"/>
          <w:b/>
          <w:bCs/>
          <w:color w:val="auto"/>
          <w:sz w:val="24"/>
          <w:highlight w:val="none"/>
        </w:rPr>
        <w:t>及充分性。</w:t>
      </w:r>
    </w:p>
    <w:p>
      <w:pPr>
        <w:spacing w:line="360" w:lineRule="auto"/>
        <w:outlineLvl w:val="0"/>
        <w:rPr>
          <w:rFonts w:ascii="宋体" w:hAnsi="宋体" w:eastAsia="宋体" w:cs="宋体"/>
          <w:color w:val="auto"/>
          <w:sz w:val="24"/>
          <w:highlight w:val="none"/>
        </w:rPr>
      </w:pPr>
      <w:r>
        <w:rPr>
          <w:rFonts w:hint="eastAsia" w:ascii="宋体" w:hAnsi="宋体" w:eastAsia="宋体" w:cs="宋体"/>
          <w:color w:val="auto"/>
          <w:sz w:val="24"/>
          <w:highlight w:val="none"/>
        </w:rPr>
        <w:t>回答：</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（1）公司存货跌价准备计提政策及存货减值测试的方法</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资产负债表日，存货采用成本与可变现净值孰低计量，按照单个存货成本高于可变现净值的差额计提存货跌价准备。直接用于出售的存货，在正常生产经营过程中</w:t>
      </w:r>
      <w:bookmarkStart w:id="4" w:name="_Hlk6583190"/>
      <w:r>
        <w:rPr>
          <w:rFonts w:hint="eastAsia" w:ascii="宋体" w:hAnsi="宋体" w:eastAsia="宋体" w:cs="宋体"/>
          <w:color w:val="auto"/>
          <w:sz w:val="24"/>
          <w:highlight w:val="none"/>
        </w:rPr>
        <w:t>以该存货的估计售价减去估计的销售费用和相关税费后的金额确定其可变现净值</w:t>
      </w:r>
      <w:bookmarkEnd w:id="4"/>
      <w:r>
        <w:rPr>
          <w:rFonts w:hint="eastAsia" w:ascii="宋体" w:hAnsi="宋体" w:eastAsia="宋体" w:cs="宋体"/>
          <w:color w:val="auto"/>
          <w:sz w:val="24"/>
          <w:highlight w:val="none"/>
        </w:rPr>
        <w:t>；需要经过加工的存货，在正常生产经营过程中</w:t>
      </w:r>
      <w:bookmarkStart w:id="5" w:name="_Hlk6582900"/>
      <w:r>
        <w:rPr>
          <w:rFonts w:hint="eastAsia" w:ascii="宋体" w:hAnsi="宋体" w:eastAsia="宋体" w:cs="宋体"/>
          <w:color w:val="auto"/>
          <w:sz w:val="24"/>
          <w:highlight w:val="none"/>
        </w:rPr>
        <w:t>以所生产的产成品的估计售价减去至完工时估计将要发生的成本、估计的销售费用和相关税费后的金额确定其可变现净值</w:t>
      </w:r>
      <w:bookmarkEnd w:id="5"/>
      <w:r>
        <w:rPr>
          <w:rFonts w:hint="eastAsia" w:ascii="宋体" w:hAnsi="宋体" w:eastAsia="宋体" w:cs="宋体"/>
          <w:color w:val="auto"/>
          <w:sz w:val="24"/>
          <w:highlight w:val="none"/>
        </w:rPr>
        <w:t>；资产负债表日，同一项存货中一部分有合同价格约定、其他部分不存在合同价格的，分别确定其可变现净值，并与其对应的成本进行比较，分别确定存货跌价准备的计提或转回的金额。</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公司至少应当于每年年度终了对消耗性生物资产进行检查，有确凿证据表明由于遭受自然灾害或市场需求变化等原因，使消耗性生物资产的可变现净值低于其账面价值的，应当按照可变现净值低于账面价值的差额，计提生物资产跌价准备或减值准备，并计入当期损益。</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w:t>
      </w:r>
      <w:r>
        <w:rPr>
          <w:rFonts w:ascii="宋体" w:hAnsi="宋体" w:eastAsia="宋体" w:cs="宋体"/>
          <w:color w:val="auto"/>
          <w:sz w:val="24"/>
          <w:highlight w:val="none"/>
        </w:rPr>
        <w:t>2</w:t>
      </w:r>
      <w:r>
        <w:rPr>
          <w:rFonts w:hint="eastAsia" w:ascii="宋体" w:hAnsi="宋体" w:eastAsia="宋体" w:cs="宋体"/>
          <w:color w:val="auto"/>
          <w:sz w:val="24"/>
          <w:highlight w:val="none"/>
        </w:rPr>
        <w:t>）公司存货跌价准备计提的充分性</w:t>
      </w:r>
    </w:p>
    <w:p>
      <w:pPr>
        <w:spacing w:line="360" w:lineRule="auto"/>
        <w:ind w:firstLine="480" w:firstLineChars="200"/>
        <w:outlineLvl w:val="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报告期内，公司期末存货跌价准备计提情况如下：</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eastAsia="zh-CN"/>
        </w:rPr>
        <w:t>单位：</w:t>
      </w:r>
      <w:r>
        <w:rPr>
          <w:rFonts w:hint="eastAsia" w:ascii="宋体" w:hAnsi="宋体" w:eastAsia="宋体" w:cs="宋体"/>
          <w:color w:val="auto"/>
          <w:sz w:val="24"/>
          <w:highlight w:val="none"/>
          <w:lang w:val="en-US" w:eastAsia="zh-CN"/>
        </w:rPr>
        <w:t>万</w:t>
      </w:r>
      <w:r>
        <w:rPr>
          <w:rFonts w:hint="eastAsia" w:ascii="宋体" w:hAnsi="宋体" w:eastAsia="宋体" w:cs="宋体"/>
          <w:color w:val="auto"/>
          <w:sz w:val="24"/>
          <w:highlight w:val="none"/>
          <w:lang w:eastAsia="zh-CN"/>
        </w:rPr>
        <w:t>元</w:t>
      </w:r>
    </w:p>
    <w:tbl>
      <w:tblPr>
        <w:tblStyle w:val="6"/>
        <w:tblW w:w="9489" w:type="dxa"/>
        <w:jc w:val="center"/>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4"/>
        <w:gridCol w:w="2376"/>
        <w:gridCol w:w="2057"/>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14" w:type="dxa"/>
            <w:vMerge w:val="restart"/>
            <w:vAlign w:val="center"/>
          </w:tcPr>
          <w:p>
            <w:pPr>
              <w:pStyle w:val="2"/>
              <w:tabs>
                <w:tab w:val="right" w:pos="7740"/>
              </w:tabs>
              <w:spacing w:after="0" w:line="360" w:lineRule="auto"/>
              <w:ind w:firstLine="240" w:firstLineChars="100"/>
              <w:jc w:val="both"/>
              <w:rPr>
                <w:rFonts w:ascii="宋体" w:hAnsi="宋体"/>
                <w:color w:val="auto"/>
                <w:sz w:val="24"/>
                <w:szCs w:val="24"/>
                <w:highlight w:val="none"/>
              </w:rPr>
            </w:pPr>
            <w:r>
              <w:rPr>
                <w:rFonts w:hint="eastAsia" w:ascii="宋体" w:hAnsi="宋体"/>
                <w:color w:val="auto"/>
                <w:sz w:val="24"/>
                <w:szCs w:val="24"/>
                <w:highlight w:val="none"/>
              </w:rPr>
              <w:t>项  目</w:t>
            </w:r>
          </w:p>
        </w:tc>
        <w:tc>
          <w:tcPr>
            <w:tcW w:w="7075" w:type="dxa"/>
            <w:gridSpan w:val="3"/>
          </w:tcPr>
          <w:p>
            <w:pPr>
              <w:pStyle w:val="2"/>
              <w:tabs>
                <w:tab w:val="right" w:pos="7740"/>
              </w:tabs>
              <w:spacing w:line="240" w:lineRule="auto"/>
              <w:ind w:left="-106" w:leftChars="-51" w:right="-107" w:rightChars="-51" w:hanging="1"/>
              <w:jc w:val="center"/>
              <w:rPr>
                <w:rFonts w:ascii="宋体" w:hAnsi="宋体"/>
                <w:color w:val="auto"/>
                <w:sz w:val="24"/>
                <w:szCs w:val="24"/>
                <w:highlight w:val="none"/>
              </w:rPr>
            </w:pPr>
            <w:r>
              <w:rPr>
                <w:rFonts w:hint="eastAsia" w:ascii="宋体" w:hAnsi="宋体"/>
                <w:color w:val="auto"/>
                <w:spacing w:val="-2"/>
                <w:sz w:val="24"/>
                <w:szCs w:val="24"/>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414" w:type="dxa"/>
            <w:vMerge w:val="continue"/>
          </w:tcPr>
          <w:p>
            <w:pPr>
              <w:pStyle w:val="2"/>
              <w:tabs>
                <w:tab w:val="right" w:pos="7740"/>
              </w:tabs>
              <w:spacing w:after="0" w:line="240" w:lineRule="auto"/>
              <w:jc w:val="both"/>
              <w:rPr>
                <w:rFonts w:ascii="宋体" w:hAnsi="宋体"/>
                <w:color w:val="auto"/>
                <w:sz w:val="24"/>
                <w:szCs w:val="24"/>
                <w:highlight w:val="none"/>
              </w:rPr>
            </w:pPr>
          </w:p>
        </w:tc>
        <w:tc>
          <w:tcPr>
            <w:tcW w:w="2376" w:type="dxa"/>
            <w:vAlign w:val="center"/>
          </w:tcPr>
          <w:p>
            <w:pPr>
              <w:pStyle w:val="2"/>
              <w:tabs>
                <w:tab w:val="right" w:pos="7740"/>
              </w:tabs>
              <w:spacing w:line="240" w:lineRule="auto"/>
              <w:ind w:left="-107" w:leftChars="-51" w:right="-107" w:rightChars="-51"/>
              <w:jc w:val="center"/>
              <w:rPr>
                <w:rFonts w:ascii="宋体" w:hAnsi="宋体"/>
                <w:color w:val="auto"/>
                <w:sz w:val="24"/>
                <w:szCs w:val="24"/>
                <w:highlight w:val="none"/>
              </w:rPr>
            </w:pPr>
            <w:r>
              <w:rPr>
                <w:rFonts w:hint="eastAsia"/>
                <w:color w:val="auto"/>
                <w:spacing w:val="-2"/>
                <w:sz w:val="24"/>
                <w:szCs w:val="24"/>
                <w:highlight w:val="none"/>
              </w:rPr>
              <w:t>账面余额</w:t>
            </w:r>
          </w:p>
        </w:tc>
        <w:tc>
          <w:tcPr>
            <w:tcW w:w="2057" w:type="dxa"/>
            <w:vAlign w:val="center"/>
          </w:tcPr>
          <w:p>
            <w:pPr>
              <w:pStyle w:val="2"/>
              <w:tabs>
                <w:tab w:val="right" w:pos="7740"/>
              </w:tabs>
              <w:spacing w:line="240" w:lineRule="auto"/>
              <w:ind w:left="-107" w:leftChars="-51" w:right="-107" w:rightChars="-51"/>
              <w:jc w:val="center"/>
              <w:rPr>
                <w:rFonts w:ascii="宋体" w:hAnsi="宋体"/>
                <w:color w:val="auto"/>
                <w:sz w:val="24"/>
                <w:szCs w:val="24"/>
                <w:highlight w:val="none"/>
              </w:rPr>
            </w:pPr>
            <w:r>
              <w:rPr>
                <w:rFonts w:hint="eastAsia" w:ascii="宋体" w:hAnsi="宋体"/>
                <w:color w:val="auto"/>
                <w:sz w:val="24"/>
                <w:szCs w:val="24"/>
                <w:highlight w:val="none"/>
              </w:rPr>
              <w:t>跌价准备</w:t>
            </w:r>
          </w:p>
        </w:tc>
        <w:tc>
          <w:tcPr>
            <w:tcW w:w="2642" w:type="dxa"/>
            <w:vAlign w:val="center"/>
          </w:tcPr>
          <w:p>
            <w:pPr>
              <w:pStyle w:val="2"/>
              <w:tabs>
                <w:tab w:val="right" w:pos="7740"/>
              </w:tabs>
              <w:spacing w:line="240" w:lineRule="auto"/>
              <w:ind w:left="-107" w:leftChars="-51" w:right="-107" w:rightChars="-51"/>
              <w:jc w:val="center"/>
              <w:rPr>
                <w:rFonts w:ascii="宋体" w:hAnsi="宋体"/>
                <w:color w:val="auto"/>
                <w:sz w:val="24"/>
                <w:szCs w:val="24"/>
                <w:highlight w:val="none"/>
              </w:rPr>
            </w:pPr>
            <w:r>
              <w:rPr>
                <w:rFonts w:hint="eastAsia"/>
                <w:color w:val="auto"/>
                <w:spacing w:val="-2"/>
                <w:sz w:val="24"/>
                <w:szCs w:val="24"/>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tcPr>
          <w:p>
            <w:pPr>
              <w:pStyle w:val="2"/>
              <w:tabs>
                <w:tab w:val="right" w:pos="7740"/>
              </w:tabs>
              <w:spacing w:after="0" w:line="360" w:lineRule="auto"/>
              <w:jc w:val="both"/>
              <w:rPr>
                <w:rFonts w:ascii="宋体" w:hAnsi="宋体"/>
                <w:color w:val="auto"/>
                <w:sz w:val="24"/>
                <w:szCs w:val="24"/>
                <w:highlight w:val="none"/>
              </w:rPr>
            </w:pPr>
            <w:bookmarkStart w:id="6" w:name="_Hlk6564123"/>
            <w:r>
              <w:rPr>
                <w:rFonts w:hint="eastAsia" w:ascii="宋体" w:hAnsi="宋体"/>
                <w:color w:val="auto"/>
                <w:sz w:val="24"/>
                <w:szCs w:val="24"/>
                <w:highlight w:val="none"/>
              </w:rPr>
              <w:t>原材料</w:t>
            </w:r>
          </w:p>
        </w:tc>
        <w:tc>
          <w:tcPr>
            <w:tcW w:w="2376" w:type="dxa"/>
          </w:tcPr>
          <w:p>
            <w:pPr>
              <w:pStyle w:val="2"/>
              <w:tabs>
                <w:tab w:val="right" w:pos="7740"/>
              </w:tabs>
              <w:spacing w:after="0" w:line="360" w:lineRule="auto"/>
              <w:jc w:val="right"/>
              <w:rPr>
                <w:rFonts w:hint="eastAsia" w:ascii="宋体" w:hAnsi="宋体" w:eastAsia="宋体"/>
                <w:color w:val="auto"/>
                <w:sz w:val="24"/>
                <w:szCs w:val="24"/>
                <w:highlight w:val="none"/>
                <w:lang w:eastAsia="zh-CN"/>
              </w:rPr>
            </w:pPr>
            <w:r>
              <w:rPr>
                <w:rFonts w:ascii="宋体" w:hAnsi="宋体"/>
                <w:color w:val="auto"/>
                <w:sz w:val="24"/>
                <w:szCs w:val="24"/>
                <w:highlight w:val="none"/>
              </w:rPr>
              <w:t>5</w:t>
            </w:r>
            <w:r>
              <w:rPr>
                <w:rFonts w:hint="eastAsia" w:ascii="宋体" w:hAnsi="宋体"/>
                <w:color w:val="auto"/>
                <w:sz w:val="24"/>
                <w:szCs w:val="24"/>
                <w:highlight w:val="none"/>
                <w:lang w:val="en-US" w:eastAsia="zh-CN"/>
              </w:rPr>
              <w:t>,</w:t>
            </w:r>
            <w:r>
              <w:rPr>
                <w:rFonts w:ascii="宋体" w:hAnsi="宋体"/>
                <w:color w:val="auto"/>
                <w:sz w:val="24"/>
                <w:szCs w:val="24"/>
                <w:highlight w:val="none"/>
              </w:rPr>
              <w:t>555</w:t>
            </w:r>
            <w:r>
              <w:rPr>
                <w:rFonts w:hint="eastAsia" w:ascii="宋体" w:hAnsi="宋体"/>
                <w:color w:val="auto"/>
                <w:sz w:val="24"/>
                <w:szCs w:val="24"/>
                <w:highlight w:val="none"/>
                <w:lang w:val="en-US" w:eastAsia="zh-CN"/>
              </w:rPr>
              <w:t>.</w:t>
            </w:r>
            <w:r>
              <w:rPr>
                <w:rFonts w:ascii="宋体" w:hAnsi="宋体"/>
                <w:color w:val="auto"/>
                <w:sz w:val="24"/>
                <w:szCs w:val="24"/>
                <w:highlight w:val="none"/>
              </w:rPr>
              <w:t>9</w:t>
            </w:r>
            <w:r>
              <w:rPr>
                <w:rFonts w:hint="eastAsia" w:ascii="宋体" w:hAnsi="宋体"/>
                <w:color w:val="auto"/>
                <w:sz w:val="24"/>
                <w:szCs w:val="24"/>
                <w:highlight w:val="none"/>
                <w:lang w:val="en-US" w:eastAsia="zh-CN"/>
              </w:rPr>
              <w:t>9</w:t>
            </w:r>
          </w:p>
        </w:tc>
        <w:tc>
          <w:tcPr>
            <w:tcW w:w="2057" w:type="dxa"/>
          </w:tcPr>
          <w:p>
            <w:pPr>
              <w:pStyle w:val="2"/>
              <w:tabs>
                <w:tab w:val="right" w:pos="7740"/>
              </w:tabs>
              <w:spacing w:after="0" w:line="360" w:lineRule="auto"/>
              <w:jc w:val="right"/>
              <w:rPr>
                <w:rFonts w:ascii="宋体" w:hAnsi="宋体"/>
                <w:color w:val="auto"/>
                <w:sz w:val="24"/>
                <w:szCs w:val="24"/>
                <w:highlight w:val="none"/>
              </w:rPr>
            </w:pPr>
            <w:r>
              <w:rPr>
                <w:rFonts w:ascii="宋体" w:hAnsi="宋体"/>
                <w:color w:val="auto"/>
                <w:sz w:val="24"/>
                <w:szCs w:val="24"/>
                <w:highlight w:val="none"/>
              </w:rPr>
              <w:t>133</w:t>
            </w:r>
            <w:r>
              <w:rPr>
                <w:rFonts w:hint="eastAsia" w:ascii="宋体" w:hAnsi="宋体"/>
                <w:color w:val="auto"/>
                <w:sz w:val="24"/>
                <w:szCs w:val="24"/>
                <w:highlight w:val="none"/>
                <w:lang w:val="en-US" w:eastAsia="zh-CN"/>
              </w:rPr>
              <w:t>.</w:t>
            </w:r>
            <w:r>
              <w:rPr>
                <w:rFonts w:ascii="宋体" w:hAnsi="宋体"/>
                <w:color w:val="auto"/>
                <w:sz w:val="24"/>
                <w:szCs w:val="24"/>
                <w:highlight w:val="none"/>
              </w:rPr>
              <w:t>65</w:t>
            </w:r>
          </w:p>
        </w:tc>
        <w:tc>
          <w:tcPr>
            <w:tcW w:w="2642" w:type="dxa"/>
          </w:tcPr>
          <w:p>
            <w:pPr>
              <w:pStyle w:val="2"/>
              <w:tabs>
                <w:tab w:val="right" w:pos="7740"/>
              </w:tabs>
              <w:spacing w:after="0" w:line="360" w:lineRule="auto"/>
              <w:jc w:val="right"/>
              <w:rPr>
                <w:rFonts w:hint="eastAsia" w:ascii="宋体" w:hAnsi="宋体" w:eastAsia="宋体"/>
                <w:color w:val="auto"/>
                <w:sz w:val="24"/>
                <w:szCs w:val="24"/>
                <w:highlight w:val="none"/>
                <w:lang w:eastAsia="zh-CN"/>
              </w:rPr>
            </w:pPr>
            <w:r>
              <w:rPr>
                <w:rFonts w:ascii="宋体" w:hAnsi="宋体"/>
                <w:color w:val="auto"/>
                <w:sz w:val="24"/>
                <w:szCs w:val="24"/>
                <w:highlight w:val="none"/>
              </w:rPr>
              <w:t>5</w:t>
            </w:r>
            <w:r>
              <w:rPr>
                <w:rFonts w:hint="eastAsia" w:ascii="宋体" w:hAnsi="宋体"/>
                <w:color w:val="auto"/>
                <w:sz w:val="24"/>
                <w:szCs w:val="24"/>
                <w:highlight w:val="none"/>
                <w:lang w:val="en-US" w:eastAsia="zh-CN"/>
              </w:rPr>
              <w:t>,</w:t>
            </w:r>
            <w:r>
              <w:rPr>
                <w:rFonts w:ascii="宋体" w:hAnsi="宋体"/>
                <w:color w:val="auto"/>
                <w:sz w:val="24"/>
                <w:szCs w:val="24"/>
                <w:highlight w:val="none"/>
              </w:rPr>
              <w:t>422</w:t>
            </w:r>
            <w:r>
              <w:rPr>
                <w:rFonts w:hint="eastAsia" w:ascii="宋体" w:hAnsi="宋体"/>
                <w:color w:val="auto"/>
                <w:sz w:val="24"/>
                <w:szCs w:val="24"/>
                <w:highlight w:val="none"/>
                <w:lang w:val="en-US" w:eastAsia="zh-CN"/>
              </w:rPr>
              <w:t>.</w:t>
            </w:r>
            <w:r>
              <w:rPr>
                <w:rFonts w:ascii="宋体" w:hAnsi="宋体"/>
                <w:color w:val="auto"/>
                <w:sz w:val="24"/>
                <w:szCs w:val="24"/>
                <w:highlight w:val="none"/>
              </w:rPr>
              <w:t>3</w:t>
            </w:r>
            <w:r>
              <w:rPr>
                <w:rFonts w:hint="eastAsia" w:ascii="宋体" w:hAnsi="宋体"/>
                <w:color w:val="auto"/>
                <w:sz w:val="24"/>
                <w:szCs w:val="24"/>
                <w:highlight w:val="none"/>
                <w:lang w:val="en-US" w:eastAsia="zh-CN"/>
              </w:rPr>
              <w:t>4</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tcPr>
          <w:p>
            <w:pPr>
              <w:pStyle w:val="2"/>
              <w:tabs>
                <w:tab w:val="right" w:pos="7740"/>
              </w:tabs>
              <w:spacing w:after="0" w:line="360" w:lineRule="auto"/>
              <w:jc w:val="both"/>
              <w:rPr>
                <w:rFonts w:ascii="宋体" w:hAnsi="宋体"/>
                <w:color w:val="auto"/>
                <w:sz w:val="24"/>
                <w:szCs w:val="24"/>
                <w:highlight w:val="none"/>
              </w:rPr>
            </w:pPr>
            <w:r>
              <w:rPr>
                <w:rFonts w:hint="eastAsia" w:ascii="宋体" w:hAnsi="宋体"/>
                <w:color w:val="auto"/>
                <w:sz w:val="24"/>
                <w:szCs w:val="24"/>
                <w:highlight w:val="none"/>
              </w:rPr>
              <w:t>在产品</w:t>
            </w:r>
          </w:p>
        </w:tc>
        <w:tc>
          <w:tcPr>
            <w:tcW w:w="2376" w:type="dxa"/>
          </w:tcPr>
          <w:p>
            <w:pPr>
              <w:pStyle w:val="2"/>
              <w:tabs>
                <w:tab w:val="right" w:pos="7740"/>
              </w:tabs>
              <w:spacing w:after="0" w:line="360" w:lineRule="auto"/>
              <w:jc w:val="right"/>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lang w:val="en-US" w:eastAsia="zh-CN"/>
              </w:rPr>
              <w:t>,</w:t>
            </w:r>
            <w:r>
              <w:rPr>
                <w:rFonts w:ascii="宋体" w:hAnsi="宋体"/>
                <w:color w:val="auto"/>
                <w:sz w:val="24"/>
                <w:szCs w:val="24"/>
                <w:highlight w:val="none"/>
              </w:rPr>
              <w:t>290</w:t>
            </w:r>
            <w:r>
              <w:rPr>
                <w:rFonts w:hint="eastAsia" w:ascii="宋体" w:hAnsi="宋体"/>
                <w:color w:val="auto"/>
                <w:sz w:val="24"/>
                <w:szCs w:val="24"/>
                <w:highlight w:val="none"/>
                <w:lang w:val="en-US" w:eastAsia="zh-CN"/>
              </w:rPr>
              <w:t>.</w:t>
            </w:r>
            <w:r>
              <w:rPr>
                <w:rFonts w:ascii="宋体" w:hAnsi="宋体"/>
                <w:color w:val="auto"/>
                <w:sz w:val="24"/>
                <w:szCs w:val="24"/>
                <w:highlight w:val="none"/>
              </w:rPr>
              <w:t>34</w:t>
            </w:r>
          </w:p>
        </w:tc>
        <w:tc>
          <w:tcPr>
            <w:tcW w:w="2057" w:type="dxa"/>
          </w:tcPr>
          <w:p>
            <w:pPr>
              <w:pStyle w:val="2"/>
              <w:tabs>
                <w:tab w:val="right" w:pos="7740"/>
              </w:tabs>
              <w:spacing w:after="0" w:line="360" w:lineRule="auto"/>
              <w:jc w:val="right"/>
              <w:rPr>
                <w:rFonts w:ascii="宋体" w:hAnsi="宋体"/>
                <w:color w:val="auto"/>
                <w:sz w:val="24"/>
                <w:szCs w:val="24"/>
                <w:highlight w:val="none"/>
              </w:rPr>
            </w:pPr>
          </w:p>
        </w:tc>
        <w:tc>
          <w:tcPr>
            <w:tcW w:w="2642" w:type="dxa"/>
          </w:tcPr>
          <w:p>
            <w:pPr>
              <w:pStyle w:val="2"/>
              <w:tabs>
                <w:tab w:val="right" w:pos="7740"/>
              </w:tabs>
              <w:spacing w:after="0" w:line="360" w:lineRule="auto"/>
              <w:jc w:val="right"/>
              <w:rPr>
                <w:rFonts w:hint="eastAsia" w:ascii="宋体" w:hAnsi="宋体" w:eastAsia="宋体"/>
                <w:color w:val="auto"/>
                <w:sz w:val="24"/>
                <w:szCs w:val="24"/>
                <w:highlight w:val="none"/>
                <w:lang w:eastAsia="zh-CN"/>
              </w:rPr>
            </w:pPr>
            <w:r>
              <w:rPr>
                <w:rFonts w:ascii="宋体" w:hAnsi="宋体"/>
                <w:color w:val="auto"/>
                <w:sz w:val="24"/>
                <w:szCs w:val="24"/>
                <w:highlight w:val="none"/>
              </w:rPr>
              <w:t>4</w:t>
            </w:r>
            <w:r>
              <w:rPr>
                <w:rFonts w:hint="eastAsia" w:ascii="宋体" w:hAnsi="宋体"/>
                <w:color w:val="auto"/>
                <w:sz w:val="24"/>
                <w:szCs w:val="24"/>
                <w:highlight w:val="none"/>
                <w:lang w:val="en-US" w:eastAsia="zh-CN"/>
              </w:rPr>
              <w:t>,</w:t>
            </w:r>
            <w:r>
              <w:rPr>
                <w:rFonts w:ascii="宋体" w:hAnsi="宋体"/>
                <w:color w:val="auto"/>
                <w:sz w:val="24"/>
                <w:szCs w:val="24"/>
                <w:highlight w:val="none"/>
              </w:rPr>
              <w:t>290</w:t>
            </w:r>
            <w:r>
              <w:rPr>
                <w:rFonts w:hint="eastAsia" w:ascii="宋体" w:hAnsi="宋体"/>
                <w:color w:val="auto"/>
                <w:sz w:val="24"/>
                <w:szCs w:val="24"/>
                <w:highlight w:val="none"/>
                <w:lang w:val="en-US" w:eastAsia="zh-CN"/>
              </w:rPr>
              <w:t>.</w:t>
            </w:r>
            <w:r>
              <w:rPr>
                <w:rFonts w:ascii="宋体" w:hAnsi="宋体"/>
                <w:color w:val="auto"/>
                <w:sz w:val="24"/>
                <w:szCs w:val="24"/>
                <w:highlight w:val="none"/>
              </w:rPr>
              <w:t>3</w:t>
            </w:r>
            <w:r>
              <w:rPr>
                <w:rFonts w:hint="eastAsia" w:ascii="宋体" w:hAnsi="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tcPr>
          <w:p>
            <w:pPr>
              <w:pStyle w:val="2"/>
              <w:tabs>
                <w:tab w:val="right" w:pos="7740"/>
              </w:tabs>
              <w:spacing w:after="0" w:line="360" w:lineRule="auto"/>
              <w:jc w:val="both"/>
              <w:rPr>
                <w:rFonts w:ascii="宋体" w:hAnsi="宋体"/>
                <w:color w:val="auto"/>
                <w:sz w:val="24"/>
                <w:szCs w:val="24"/>
                <w:highlight w:val="none"/>
              </w:rPr>
            </w:pPr>
            <w:r>
              <w:rPr>
                <w:rFonts w:hint="eastAsia" w:ascii="宋体" w:hAnsi="宋体"/>
                <w:color w:val="auto"/>
                <w:sz w:val="24"/>
                <w:szCs w:val="24"/>
                <w:highlight w:val="none"/>
              </w:rPr>
              <w:t>库存商品</w:t>
            </w:r>
          </w:p>
        </w:tc>
        <w:tc>
          <w:tcPr>
            <w:tcW w:w="2376" w:type="dxa"/>
          </w:tcPr>
          <w:p>
            <w:pPr>
              <w:pStyle w:val="2"/>
              <w:tabs>
                <w:tab w:val="right" w:pos="7740"/>
              </w:tabs>
              <w:spacing w:after="0" w:line="360" w:lineRule="auto"/>
              <w:jc w:val="right"/>
              <w:rPr>
                <w:rFonts w:hint="eastAsia" w:ascii="宋体" w:hAnsi="宋体" w:eastAsia="宋体"/>
                <w:color w:val="auto"/>
                <w:sz w:val="24"/>
                <w:szCs w:val="24"/>
                <w:highlight w:val="none"/>
                <w:lang w:eastAsia="zh-CN"/>
              </w:rPr>
            </w:pPr>
            <w:r>
              <w:rPr>
                <w:rFonts w:ascii="宋体" w:hAnsi="宋体"/>
                <w:color w:val="auto"/>
                <w:sz w:val="24"/>
                <w:szCs w:val="24"/>
                <w:highlight w:val="none"/>
              </w:rPr>
              <w:t>14</w:t>
            </w:r>
            <w:r>
              <w:rPr>
                <w:rFonts w:hint="eastAsia" w:ascii="宋体" w:hAnsi="宋体"/>
                <w:color w:val="auto"/>
                <w:sz w:val="24"/>
                <w:szCs w:val="24"/>
                <w:highlight w:val="none"/>
                <w:lang w:val="en-US" w:eastAsia="zh-CN"/>
              </w:rPr>
              <w:t>,</w:t>
            </w:r>
            <w:r>
              <w:rPr>
                <w:rFonts w:ascii="宋体" w:hAnsi="宋体"/>
                <w:color w:val="auto"/>
                <w:sz w:val="24"/>
                <w:szCs w:val="24"/>
                <w:highlight w:val="none"/>
              </w:rPr>
              <w:t>543</w:t>
            </w:r>
            <w:r>
              <w:rPr>
                <w:rFonts w:hint="eastAsia" w:ascii="宋体" w:hAnsi="宋体"/>
                <w:color w:val="auto"/>
                <w:sz w:val="24"/>
                <w:szCs w:val="24"/>
                <w:highlight w:val="none"/>
                <w:lang w:val="en-US" w:eastAsia="zh-CN"/>
              </w:rPr>
              <w:t>.</w:t>
            </w:r>
            <w:r>
              <w:rPr>
                <w:rFonts w:ascii="宋体" w:hAnsi="宋体"/>
                <w:color w:val="auto"/>
                <w:sz w:val="24"/>
                <w:szCs w:val="24"/>
                <w:highlight w:val="none"/>
              </w:rPr>
              <w:t>6</w:t>
            </w:r>
            <w:r>
              <w:rPr>
                <w:rFonts w:hint="eastAsia" w:ascii="宋体" w:hAnsi="宋体"/>
                <w:color w:val="auto"/>
                <w:sz w:val="24"/>
                <w:szCs w:val="24"/>
                <w:highlight w:val="none"/>
                <w:lang w:val="en-US" w:eastAsia="zh-CN"/>
              </w:rPr>
              <w:t>1</w:t>
            </w:r>
          </w:p>
        </w:tc>
        <w:tc>
          <w:tcPr>
            <w:tcW w:w="2057" w:type="dxa"/>
          </w:tcPr>
          <w:p>
            <w:pPr>
              <w:pStyle w:val="2"/>
              <w:tabs>
                <w:tab w:val="right" w:pos="7740"/>
              </w:tabs>
              <w:spacing w:after="0" w:line="360" w:lineRule="auto"/>
              <w:jc w:val="right"/>
              <w:rPr>
                <w:rFonts w:hint="eastAsia" w:ascii="宋体" w:hAnsi="宋体" w:eastAsia="宋体"/>
                <w:color w:val="auto"/>
                <w:sz w:val="24"/>
                <w:szCs w:val="24"/>
                <w:highlight w:val="none"/>
                <w:lang w:eastAsia="zh-CN"/>
              </w:rPr>
            </w:pPr>
            <w:r>
              <w:rPr>
                <w:rFonts w:ascii="宋体" w:hAnsi="宋体"/>
                <w:color w:val="auto"/>
                <w:sz w:val="24"/>
                <w:szCs w:val="24"/>
                <w:highlight w:val="none"/>
              </w:rPr>
              <w:t>432</w:t>
            </w:r>
            <w:r>
              <w:rPr>
                <w:rFonts w:hint="eastAsia" w:ascii="宋体" w:hAnsi="宋体"/>
                <w:color w:val="auto"/>
                <w:sz w:val="24"/>
                <w:szCs w:val="24"/>
                <w:highlight w:val="none"/>
                <w:lang w:val="en-US" w:eastAsia="zh-CN"/>
              </w:rPr>
              <w:t>.</w:t>
            </w:r>
            <w:r>
              <w:rPr>
                <w:rFonts w:ascii="宋体" w:hAnsi="宋体"/>
                <w:color w:val="auto"/>
                <w:sz w:val="24"/>
                <w:szCs w:val="24"/>
                <w:highlight w:val="none"/>
              </w:rPr>
              <w:t>1</w:t>
            </w:r>
            <w:r>
              <w:rPr>
                <w:rFonts w:hint="eastAsia" w:ascii="宋体" w:hAnsi="宋体"/>
                <w:color w:val="auto"/>
                <w:sz w:val="24"/>
                <w:szCs w:val="24"/>
                <w:highlight w:val="none"/>
                <w:lang w:val="en-US" w:eastAsia="zh-CN"/>
              </w:rPr>
              <w:t>2</w:t>
            </w:r>
          </w:p>
        </w:tc>
        <w:tc>
          <w:tcPr>
            <w:tcW w:w="2642" w:type="dxa"/>
          </w:tcPr>
          <w:p>
            <w:pPr>
              <w:pStyle w:val="2"/>
              <w:tabs>
                <w:tab w:val="right" w:pos="7740"/>
              </w:tabs>
              <w:spacing w:after="0" w:line="360" w:lineRule="auto"/>
              <w:jc w:val="right"/>
              <w:rPr>
                <w:rFonts w:hint="eastAsia" w:ascii="宋体" w:hAnsi="宋体" w:eastAsia="宋体"/>
                <w:color w:val="auto"/>
                <w:sz w:val="24"/>
                <w:szCs w:val="24"/>
                <w:highlight w:val="none"/>
                <w:lang w:eastAsia="zh-CN"/>
              </w:rPr>
            </w:pPr>
            <w:r>
              <w:rPr>
                <w:rFonts w:ascii="宋体" w:hAnsi="宋体"/>
                <w:color w:val="auto"/>
                <w:sz w:val="24"/>
                <w:szCs w:val="24"/>
                <w:highlight w:val="none"/>
              </w:rPr>
              <w:t>14</w:t>
            </w:r>
            <w:r>
              <w:rPr>
                <w:rFonts w:hint="eastAsia" w:ascii="宋体" w:hAnsi="宋体"/>
                <w:color w:val="auto"/>
                <w:sz w:val="24"/>
                <w:szCs w:val="24"/>
                <w:highlight w:val="none"/>
                <w:lang w:val="en-US" w:eastAsia="zh-CN"/>
              </w:rPr>
              <w:t>,</w:t>
            </w:r>
            <w:r>
              <w:rPr>
                <w:rFonts w:ascii="宋体" w:hAnsi="宋体"/>
                <w:color w:val="auto"/>
                <w:sz w:val="24"/>
                <w:szCs w:val="24"/>
                <w:highlight w:val="none"/>
              </w:rPr>
              <w:t>111</w:t>
            </w:r>
            <w:r>
              <w:rPr>
                <w:rFonts w:hint="eastAsia" w:ascii="宋体" w:hAnsi="宋体"/>
                <w:color w:val="auto"/>
                <w:sz w:val="24"/>
                <w:szCs w:val="24"/>
                <w:highlight w:val="none"/>
                <w:lang w:val="en-US" w:eastAsia="zh-CN"/>
              </w:rPr>
              <w:t>.</w:t>
            </w:r>
            <w:r>
              <w:rPr>
                <w:rFonts w:ascii="宋体" w:hAnsi="宋体"/>
                <w:color w:val="auto"/>
                <w:sz w:val="24"/>
                <w:szCs w:val="24"/>
                <w:highlight w:val="none"/>
              </w:rPr>
              <w:t>4</w:t>
            </w:r>
            <w:r>
              <w:rPr>
                <w:rFonts w:hint="eastAsia" w:ascii="宋体" w:hAnsi="宋体"/>
                <w:color w:val="auto"/>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tcPr>
          <w:p>
            <w:pPr>
              <w:pStyle w:val="2"/>
              <w:tabs>
                <w:tab w:val="right" w:pos="7740"/>
              </w:tabs>
              <w:spacing w:after="0" w:line="360" w:lineRule="auto"/>
              <w:jc w:val="both"/>
              <w:rPr>
                <w:rFonts w:ascii="宋体" w:hAnsi="宋体"/>
                <w:color w:val="auto"/>
                <w:sz w:val="24"/>
                <w:szCs w:val="24"/>
                <w:highlight w:val="none"/>
              </w:rPr>
            </w:pPr>
            <w:r>
              <w:rPr>
                <w:rFonts w:hint="eastAsia" w:ascii="宋体" w:hAnsi="宋体"/>
                <w:color w:val="auto"/>
                <w:sz w:val="24"/>
                <w:szCs w:val="24"/>
                <w:highlight w:val="none"/>
              </w:rPr>
              <w:t>消耗性生物资产</w:t>
            </w:r>
          </w:p>
        </w:tc>
        <w:tc>
          <w:tcPr>
            <w:tcW w:w="2376" w:type="dxa"/>
          </w:tcPr>
          <w:p>
            <w:pPr>
              <w:pStyle w:val="2"/>
              <w:tabs>
                <w:tab w:val="right" w:pos="7740"/>
              </w:tabs>
              <w:spacing w:after="0" w:line="360" w:lineRule="auto"/>
              <w:jc w:val="right"/>
              <w:rPr>
                <w:rFonts w:hint="eastAsia" w:ascii="宋体" w:hAnsi="宋体" w:eastAsia="宋体"/>
                <w:color w:val="auto"/>
                <w:sz w:val="24"/>
                <w:szCs w:val="24"/>
                <w:highlight w:val="none"/>
                <w:lang w:eastAsia="zh-CN"/>
              </w:rPr>
            </w:pPr>
            <w:r>
              <w:rPr>
                <w:rFonts w:ascii="宋体" w:hAnsi="宋体"/>
                <w:color w:val="auto"/>
                <w:sz w:val="24"/>
                <w:szCs w:val="24"/>
                <w:highlight w:val="none"/>
              </w:rPr>
              <w:t>7</w:t>
            </w:r>
            <w:r>
              <w:rPr>
                <w:rFonts w:hint="eastAsia" w:ascii="宋体" w:hAnsi="宋体"/>
                <w:color w:val="auto"/>
                <w:sz w:val="24"/>
                <w:szCs w:val="24"/>
                <w:highlight w:val="none"/>
                <w:lang w:val="en-US" w:eastAsia="zh-CN"/>
              </w:rPr>
              <w:t>,</w:t>
            </w:r>
            <w:r>
              <w:rPr>
                <w:rFonts w:ascii="宋体" w:hAnsi="宋体"/>
                <w:color w:val="auto"/>
                <w:sz w:val="24"/>
                <w:szCs w:val="24"/>
                <w:highlight w:val="none"/>
              </w:rPr>
              <w:t>370</w:t>
            </w:r>
            <w:r>
              <w:rPr>
                <w:rFonts w:hint="eastAsia" w:ascii="宋体" w:hAnsi="宋体"/>
                <w:color w:val="auto"/>
                <w:sz w:val="24"/>
                <w:szCs w:val="24"/>
                <w:highlight w:val="none"/>
                <w:lang w:val="en-US" w:eastAsia="zh-CN"/>
              </w:rPr>
              <w:t>.</w:t>
            </w:r>
            <w:r>
              <w:rPr>
                <w:rFonts w:ascii="宋体" w:hAnsi="宋体"/>
                <w:color w:val="auto"/>
                <w:sz w:val="24"/>
                <w:szCs w:val="24"/>
                <w:highlight w:val="none"/>
              </w:rPr>
              <w:t>4</w:t>
            </w:r>
            <w:r>
              <w:rPr>
                <w:rFonts w:hint="eastAsia" w:ascii="宋体" w:hAnsi="宋体"/>
                <w:color w:val="auto"/>
                <w:sz w:val="24"/>
                <w:szCs w:val="24"/>
                <w:highlight w:val="none"/>
                <w:lang w:val="en-US" w:eastAsia="zh-CN"/>
              </w:rPr>
              <w:t>0</w:t>
            </w:r>
          </w:p>
        </w:tc>
        <w:tc>
          <w:tcPr>
            <w:tcW w:w="2057" w:type="dxa"/>
          </w:tcPr>
          <w:p>
            <w:pPr>
              <w:pStyle w:val="2"/>
              <w:tabs>
                <w:tab w:val="right" w:pos="7740"/>
              </w:tabs>
              <w:spacing w:after="0" w:line="360" w:lineRule="auto"/>
              <w:jc w:val="right"/>
              <w:rPr>
                <w:rFonts w:ascii="宋体" w:hAnsi="宋体"/>
                <w:color w:val="auto"/>
                <w:sz w:val="24"/>
                <w:szCs w:val="24"/>
                <w:highlight w:val="none"/>
              </w:rPr>
            </w:pPr>
          </w:p>
        </w:tc>
        <w:tc>
          <w:tcPr>
            <w:tcW w:w="2642" w:type="dxa"/>
          </w:tcPr>
          <w:p>
            <w:pPr>
              <w:pStyle w:val="2"/>
              <w:tabs>
                <w:tab w:val="right" w:pos="7740"/>
              </w:tabs>
              <w:spacing w:after="0" w:line="360" w:lineRule="auto"/>
              <w:jc w:val="right"/>
              <w:rPr>
                <w:rFonts w:hint="eastAsia" w:ascii="宋体" w:hAnsi="宋体" w:eastAsia="宋体"/>
                <w:color w:val="auto"/>
                <w:sz w:val="24"/>
                <w:szCs w:val="24"/>
                <w:highlight w:val="none"/>
                <w:lang w:eastAsia="zh-CN"/>
              </w:rPr>
            </w:pPr>
            <w:r>
              <w:rPr>
                <w:rFonts w:ascii="宋体" w:hAnsi="宋体"/>
                <w:color w:val="auto"/>
                <w:sz w:val="24"/>
                <w:szCs w:val="24"/>
                <w:highlight w:val="none"/>
              </w:rPr>
              <w:t>7</w:t>
            </w:r>
            <w:r>
              <w:rPr>
                <w:rFonts w:hint="eastAsia" w:ascii="宋体" w:hAnsi="宋体"/>
                <w:color w:val="auto"/>
                <w:sz w:val="24"/>
                <w:szCs w:val="24"/>
                <w:highlight w:val="none"/>
                <w:lang w:val="en-US" w:eastAsia="zh-CN"/>
              </w:rPr>
              <w:t>,</w:t>
            </w:r>
            <w:r>
              <w:rPr>
                <w:rFonts w:ascii="宋体" w:hAnsi="宋体"/>
                <w:color w:val="auto"/>
                <w:sz w:val="24"/>
                <w:szCs w:val="24"/>
                <w:highlight w:val="none"/>
              </w:rPr>
              <w:t>370</w:t>
            </w:r>
            <w:r>
              <w:rPr>
                <w:rFonts w:hint="eastAsia" w:ascii="宋体" w:hAnsi="宋体"/>
                <w:color w:val="auto"/>
                <w:sz w:val="24"/>
                <w:szCs w:val="24"/>
                <w:highlight w:val="none"/>
                <w:lang w:val="en-US" w:eastAsia="zh-CN"/>
              </w:rPr>
              <w:t>.</w:t>
            </w:r>
            <w:r>
              <w:rPr>
                <w:rFonts w:ascii="宋体" w:hAnsi="宋体"/>
                <w:color w:val="auto"/>
                <w:sz w:val="24"/>
                <w:szCs w:val="24"/>
                <w:highlight w:val="none"/>
              </w:rPr>
              <w:t>4</w:t>
            </w:r>
            <w:r>
              <w:rPr>
                <w:rFonts w:hint="eastAsia" w:ascii="宋体" w:hAnsi="宋体"/>
                <w:color w:val="auto"/>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4" w:type="dxa"/>
            <w:vAlign w:val="center"/>
          </w:tcPr>
          <w:p>
            <w:pPr>
              <w:pStyle w:val="2"/>
              <w:tabs>
                <w:tab w:val="right" w:pos="7740"/>
              </w:tabs>
              <w:spacing w:after="0" w:line="360" w:lineRule="auto"/>
              <w:ind w:firstLine="240" w:firstLineChars="100"/>
              <w:jc w:val="both"/>
              <w:rPr>
                <w:rFonts w:ascii="宋体" w:hAnsi="宋体"/>
                <w:color w:val="auto"/>
                <w:sz w:val="24"/>
                <w:szCs w:val="24"/>
                <w:highlight w:val="none"/>
              </w:rPr>
            </w:pPr>
            <w:r>
              <w:rPr>
                <w:rFonts w:hint="eastAsia" w:ascii="宋体" w:hAnsi="宋体"/>
                <w:color w:val="auto"/>
                <w:sz w:val="24"/>
                <w:szCs w:val="24"/>
                <w:highlight w:val="none"/>
              </w:rPr>
              <w:t>合  计</w:t>
            </w:r>
          </w:p>
        </w:tc>
        <w:tc>
          <w:tcPr>
            <w:tcW w:w="2376" w:type="dxa"/>
            <w:vAlign w:val="center"/>
          </w:tcPr>
          <w:p>
            <w:pPr>
              <w:pStyle w:val="2"/>
              <w:tabs>
                <w:tab w:val="right" w:pos="7740"/>
              </w:tabs>
              <w:spacing w:after="0" w:line="360" w:lineRule="auto"/>
              <w:jc w:val="right"/>
              <w:rPr>
                <w:rFonts w:hint="eastAsia" w:ascii="宋体" w:hAnsi="宋体" w:eastAsia="宋体"/>
                <w:color w:val="auto"/>
                <w:sz w:val="24"/>
                <w:szCs w:val="24"/>
                <w:highlight w:val="none"/>
                <w:lang w:eastAsia="zh-CN"/>
              </w:rPr>
            </w:pPr>
            <w:r>
              <w:rPr>
                <w:rFonts w:ascii="宋体" w:hAnsi="宋体"/>
                <w:color w:val="auto"/>
                <w:sz w:val="24"/>
                <w:szCs w:val="24"/>
                <w:highlight w:val="none"/>
              </w:rPr>
              <w:t>31</w:t>
            </w:r>
            <w:r>
              <w:rPr>
                <w:rFonts w:hint="eastAsia" w:ascii="宋体" w:hAnsi="宋体"/>
                <w:color w:val="auto"/>
                <w:sz w:val="24"/>
                <w:szCs w:val="24"/>
                <w:highlight w:val="none"/>
                <w:lang w:val="en-US" w:eastAsia="zh-CN"/>
              </w:rPr>
              <w:t>,</w:t>
            </w:r>
            <w:r>
              <w:rPr>
                <w:rFonts w:ascii="宋体" w:hAnsi="宋体"/>
                <w:color w:val="auto"/>
                <w:sz w:val="24"/>
                <w:szCs w:val="24"/>
                <w:highlight w:val="none"/>
              </w:rPr>
              <w:t>760</w:t>
            </w:r>
            <w:r>
              <w:rPr>
                <w:rFonts w:hint="eastAsia" w:ascii="宋体" w:hAnsi="宋体"/>
                <w:color w:val="auto"/>
                <w:sz w:val="24"/>
                <w:szCs w:val="24"/>
                <w:highlight w:val="none"/>
                <w:lang w:val="en-US" w:eastAsia="zh-CN"/>
              </w:rPr>
              <w:t>.</w:t>
            </w:r>
            <w:r>
              <w:rPr>
                <w:rFonts w:ascii="宋体" w:hAnsi="宋体"/>
                <w:color w:val="auto"/>
                <w:sz w:val="24"/>
                <w:szCs w:val="24"/>
                <w:highlight w:val="none"/>
              </w:rPr>
              <w:t>3</w:t>
            </w:r>
            <w:r>
              <w:rPr>
                <w:rFonts w:hint="eastAsia" w:ascii="宋体" w:hAnsi="宋体"/>
                <w:color w:val="auto"/>
                <w:sz w:val="24"/>
                <w:szCs w:val="24"/>
                <w:highlight w:val="none"/>
                <w:lang w:val="en-US" w:eastAsia="zh-CN"/>
              </w:rPr>
              <w:t>5</w:t>
            </w:r>
          </w:p>
        </w:tc>
        <w:tc>
          <w:tcPr>
            <w:tcW w:w="2057" w:type="dxa"/>
            <w:vAlign w:val="center"/>
          </w:tcPr>
          <w:p>
            <w:pPr>
              <w:pStyle w:val="2"/>
              <w:tabs>
                <w:tab w:val="right" w:pos="7740"/>
              </w:tabs>
              <w:spacing w:after="0" w:line="360" w:lineRule="auto"/>
              <w:jc w:val="right"/>
              <w:rPr>
                <w:rFonts w:hint="eastAsia" w:ascii="宋体" w:hAnsi="宋体" w:eastAsia="宋体"/>
                <w:color w:val="auto"/>
                <w:sz w:val="24"/>
                <w:szCs w:val="24"/>
                <w:highlight w:val="none"/>
                <w:lang w:eastAsia="zh-CN"/>
              </w:rPr>
            </w:pPr>
            <w:r>
              <w:rPr>
                <w:rFonts w:ascii="宋体" w:hAnsi="宋体"/>
                <w:color w:val="auto"/>
                <w:sz w:val="24"/>
                <w:szCs w:val="24"/>
                <w:highlight w:val="none"/>
              </w:rPr>
              <w:t>565</w:t>
            </w:r>
            <w:r>
              <w:rPr>
                <w:rFonts w:hint="eastAsia" w:ascii="宋体" w:hAnsi="宋体"/>
                <w:color w:val="auto"/>
                <w:sz w:val="24"/>
                <w:szCs w:val="24"/>
                <w:highlight w:val="none"/>
                <w:lang w:val="en-US" w:eastAsia="zh-CN"/>
              </w:rPr>
              <w:t>.</w:t>
            </w:r>
            <w:r>
              <w:rPr>
                <w:rFonts w:ascii="宋体" w:hAnsi="宋体"/>
                <w:color w:val="auto"/>
                <w:sz w:val="24"/>
                <w:szCs w:val="24"/>
                <w:highlight w:val="none"/>
              </w:rPr>
              <w:t>7</w:t>
            </w:r>
            <w:r>
              <w:rPr>
                <w:rFonts w:hint="eastAsia" w:ascii="宋体" w:hAnsi="宋体"/>
                <w:color w:val="auto"/>
                <w:sz w:val="24"/>
                <w:szCs w:val="24"/>
                <w:highlight w:val="none"/>
                <w:lang w:val="en-US" w:eastAsia="zh-CN"/>
              </w:rPr>
              <w:t>8</w:t>
            </w:r>
          </w:p>
        </w:tc>
        <w:tc>
          <w:tcPr>
            <w:tcW w:w="2642" w:type="dxa"/>
            <w:vAlign w:val="center"/>
          </w:tcPr>
          <w:p>
            <w:pPr>
              <w:pStyle w:val="2"/>
              <w:tabs>
                <w:tab w:val="right" w:pos="7740"/>
              </w:tabs>
              <w:spacing w:after="0" w:line="360" w:lineRule="auto"/>
              <w:jc w:val="right"/>
              <w:rPr>
                <w:rFonts w:hint="eastAsia" w:ascii="宋体" w:hAnsi="宋体" w:eastAsia="宋体"/>
                <w:color w:val="auto"/>
                <w:sz w:val="24"/>
                <w:szCs w:val="24"/>
                <w:highlight w:val="none"/>
                <w:lang w:eastAsia="zh-CN"/>
              </w:rPr>
            </w:pPr>
            <w:r>
              <w:rPr>
                <w:rFonts w:ascii="宋体" w:hAnsi="宋体"/>
                <w:color w:val="auto"/>
                <w:sz w:val="24"/>
                <w:szCs w:val="24"/>
                <w:highlight w:val="none"/>
              </w:rPr>
              <w:t>31</w:t>
            </w:r>
            <w:r>
              <w:rPr>
                <w:rFonts w:hint="eastAsia" w:ascii="宋体" w:hAnsi="宋体"/>
                <w:color w:val="auto"/>
                <w:sz w:val="24"/>
                <w:szCs w:val="24"/>
                <w:highlight w:val="none"/>
                <w:lang w:val="en-US" w:eastAsia="zh-CN"/>
              </w:rPr>
              <w:t>,</w:t>
            </w:r>
            <w:r>
              <w:rPr>
                <w:rFonts w:ascii="宋体" w:hAnsi="宋体"/>
                <w:color w:val="auto"/>
                <w:sz w:val="24"/>
                <w:szCs w:val="24"/>
                <w:highlight w:val="none"/>
              </w:rPr>
              <w:t>194</w:t>
            </w:r>
            <w:r>
              <w:rPr>
                <w:rFonts w:hint="eastAsia" w:ascii="宋体" w:hAnsi="宋体"/>
                <w:color w:val="auto"/>
                <w:sz w:val="24"/>
                <w:szCs w:val="24"/>
                <w:highlight w:val="none"/>
                <w:lang w:val="en-US" w:eastAsia="zh-CN"/>
              </w:rPr>
              <w:t>.</w:t>
            </w:r>
            <w:r>
              <w:rPr>
                <w:rFonts w:ascii="宋体" w:hAnsi="宋体"/>
                <w:color w:val="auto"/>
                <w:sz w:val="24"/>
                <w:szCs w:val="24"/>
                <w:highlight w:val="none"/>
              </w:rPr>
              <w:t>5</w:t>
            </w:r>
            <w:r>
              <w:rPr>
                <w:rFonts w:hint="eastAsia" w:ascii="宋体" w:hAnsi="宋体"/>
                <w:color w:val="auto"/>
                <w:sz w:val="24"/>
                <w:szCs w:val="24"/>
                <w:highlight w:val="none"/>
                <w:lang w:val="en-US" w:eastAsia="zh-CN"/>
              </w:rPr>
              <w:t>7</w:t>
            </w:r>
          </w:p>
        </w:tc>
      </w:tr>
    </w:tbl>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公司期末原材料持有目的主要是满足公司日常生产所需，因胶合板、基材和单板生产的装饰板材、地板和科技木等部分产品的可变现净值低于成本，原材料胶合板、基材和单板按照单个存货项目计提了该部分存货跌价准备。201</w:t>
      </w:r>
      <w:r>
        <w:rPr>
          <w:rFonts w:ascii="宋体" w:hAnsi="宋体" w:eastAsia="宋体" w:cs="宋体"/>
          <w:color w:val="auto"/>
          <w:sz w:val="24"/>
          <w:highlight w:val="none"/>
        </w:rPr>
        <w:t>8</w:t>
      </w:r>
      <w:r>
        <w:rPr>
          <w:rFonts w:hint="eastAsia" w:ascii="宋体" w:hAnsi="宋体" w:eastAsia="宋体" w:cs="宋体"/>
          <w:color w:val="auto"/>
          <w:sz w:val="24"/>
          <w:highlight w:val="none"/>
        </w:rPr>
        <w:t>年12月31日，公司存在减值情况的原材料胶合板、基材和单板</w:t>
      </w:r>
      <w:r>
        <w:rPr>
          <w:rFonts w:hint="eastAsia" w:ascii="宋体" w:hAnsi="宋体" w:eastAsia="宋体" w:cs="宋体"/>
          <w:color w:val="auto"/>
          <w:sz w:val="24"/>
          <w:highlight w:val="none"/>
          <w:lang w:val="en-US" w:eastAsia="zh-CN"/>
        </w:rPr>
        <w:t>等</w:t>
      </w:r>
      <w:r>
        <w:rPr>
          <w:rFonts w:hint="eastAsia" w:ascii="宋体" w:hAnsi="宋体" w:eastAsia="宋体" w:cs="宋体"/>
          <w:color w:val="auto"/>
          <w:sz w:val="24"/>
          <w:highlight w:val="none"/>
        </w:rPr>
        <w:t>期末账面成本</w:t>
      </w:r>
      <w:r>
        <w:rPr>
          <w:rFonts w:ascii="宋体" w:hAnsi="宋体" w:eastAsia="宋体" w:cs="宋体"/>
          <w:color w:val="auto"/>
          <w:sz w:val="24"/>
          <w:highlight w:val="none"/>
        </w:rPr>
        <w:t>1</w:t>
      </w:r>
      <w:r>
        <w:rPr>
          <w:rFonts w:hint="eastAsia" w:ascii="宋体" w:hAnsi="宋体" w:eastAsia="宋体" w:cs="宋体"/>
          <w:color w:val="auto"/>
          <w:sz w:val="24"/>
          <w:highlight w:val="none"/>
        </w:rPr>
        <w:t>,</w:t>
      </w:r>
      <w:r>
        <w:rPr>
          <w:rFonts w:ascii="宋体" w:hAnsi="宋体" w:eastAsia="宋体" w:cs="宋体"/>
          <w:color w:val="auto"/>
          <w:sz w:val="24"/>
          <w:highlight w:val="none"/>
        </w:rPr>
        <w:t>5</w:t>
      </w:r>
      <w:r>
        <w:rPr>
          <w:rFonts w:hint="eastAsia" w:ascii="宋体" w:hAnsi="宋体" w:eastAsia="宋体" w:cs="宋体"/>
          <w:color w:val="auto"/>
          <w:sz w:val="24"/>
          <w:highlight w:val="none"/>
        </w:rPr>
        <w:t>43.18</w:t>
      </w:r>
      <w:r>
        <w:rPr>
          <w:rFonts w:hint="eastAsia" w:ascii="宋体" w:hAnsi="宋体" w:eastAsia="宋体" w:cs="宋体"/>
          <w:color w:val="auto"/>
          <w:sz w:val="24"/>
          <w:highlight w:val="none"/>
          <w:lang w:eastAsia="zh-CN"/>
        </w:rPr>
        <w:t>万</w:t>
      </w:r>
      <w:r>
        <w:rPr>
          <w:rFonts w:hint="eastAsia" w:ascii="宋体" w:hAnsi="宋体" w:eastAsia="宋体" w:cs="宋体"/>
          <w:color w:val="auto"/>
          <w:sz w:val="24"/>
          <w:highlight w:val="none"/>
        </w:rPr>
        <w:t>元，</w:t>
      </w:r>
      <w:bookmarkStart w:id="7" w:name="_Hlk6584842"/>
      <w:r>
        <w:rPr>
          <w:rFonts w:hint="eastAsia" w:ascii="宋体" w:hAnsi="宋体" w:eastAsia="宋体" w:cs="宋体"/>
          <w:color w:val="auto"/>
          <w:sz w:val="24"/>
          <w:highlight w:val="none"/>
        </w:rPr>
        <w:t>其所生产的产成品的估计售价减去至完工时估计将要发生的成本、估计的销售费用和相关税费后的金额确定的可变现净值</w:t>
      </w:r>
      <w:bookmarkEnd w:id="7"/>
      <w:r>
        <w:rPr>
          <w:rFonts w:ascii="宋体" w:hAnsi="宋体" w:eastAsia="宋体" w:cs="宋体"/>
          <w:color w:val="auto"/>
          <w:sz w:val="24"/>
          <w:highlight w:val="none"/>
        </w:rPr>
        <w:t>1</w:t>
      </w:r>
      <w:r>
        <w:rPr>
          <w:rFonts w:hint="eastAsia" w:ascii="宋体" w:hAnsi="宋体" w:eastAsia="宋体" w:cs="宋体"/>
          <w:color w:val="auto"/>
          <w:sz w:val="24"/>
          <w:highlight w:val="none"/>
        </w:rPr>
        <w:t>,</w:t>
      </w:r>
      <w:r>
        <w:rPr>
          <w:rFonts w:ascii="宋体" w:hAnsi="宋体" w:eastAsia="宋体" w:cs="宋体"/>
          <w:color w:val="auto"/>
          <w:sz w:val="24"/>
          <w:highlight w:val="none"/>
        </w:rPr>
        <w:t>4</w:t>
      </w:r>
      <w:r>
        <w:rPr>
          <w:rFonts w:hint="eastAsia" w:ascii="宋体" w:hAnsi="宋体" w:eastAsia="宋体" w:cs="宋体"/>
          <w:color w:val="auto"/>
          <w:sz w:val="24"/>
          <w:highlight w:val="none"/>
        </w:rPr>
        <w:t>09.53</w:t>
      </w:r>
      <w:r>
        <w:rPr>
          <w:rFonts w:hint="eastAsia" w:ascii="宋体" w:hAnsi="宋体" w:eastAsia="宋体" w:cs="宋体"/>
          <w:color w:val="auto"/>
          <w:sz w:val="24"/>
          <w:highlight w:val="none"/>
          <w:lang w:eastAsia="zh-CN"/>
        </w:rPr>
        <w:t>万</w:t>
      </w:r>
      <w:r>
        <w:rPr>
          <w:rFonts w:hint="eastAsia" w:ascii="宋体" w:hAnsi="宋体" w:eastAsia="宋体" w:cs="宋体"/>
          <w:color w:val="auto"/>
          <w:sz w:val="24"/>
          <w:highlight w:val="none"/>
        </w:rPr>
        <w:t>元，账面成本高于对应的可变现净值</w:t>
      </w:r>
      <w:r>
        <w:rPr>
          <w:rFonts w:ascii="宋体" w:hAnsi="宋体" w:eastAsia="宋体" w:cs="宋体"/>
          <w:color w:val="auto"/>
          <w:sz w:val="24"/>
          <w:highlight w:val="none"/>
        </w:rPr>
        <w:t>133</w:t>
      </w:r>
      <w:r>
        <w:rPr>
          <w:rFonts w:hint="eastAsia" w:ascii="宋体" w:hAnsi="宋体" w:eastAsia="宋体" w:cs="宋体"/>
          <w:color w:val="auto"/>
          <w:sz w:val="24"/>
          <w:highlight w:val="none"/>
          <w:lang w:val="en-US" w:eastAsia="zh-CN"/>
        </w:rPr>
        <w:t>.</w:t>
      </w:r>
      <w:r>
        <w:rPr>
          <w:rFonts w:ascii="宋体" w:hAnsi="宋体" w:eastAsia="宋体" w:cs="宋体"/>
          <w:color w:val="auto"/>
          <w:sz w:val="24"/>
          <w:highlight w:val="none"/>
        </w:rPr>
        <w:t>6</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lang w:eastAsia="zh-CN"/>
        </w:rPr>
        <w:t>万</w:t>
      </w:r>
      <w:r>
        <w:rPr>
          <w:rFonts w:hint="eastAsia" w:ascii="宋体" w:hAnsi="宋体" w:eastAsia="宋体" w:cs="宋体"/>
          <w:color w:val="auto"/>
          <w:sz w:val="24"/>
          <w:highlight w:val="none"/>
        </w:rPr>
        <w:t>元，根据公司会计政策按照单个存货项目计提存货跌价准备</w:t>
      </w:r>
      <w:r>
        <w:rPr>
          <w:rFonts w:ascii="宋体" w:hAnsi="宋体" w:eastAsia="宋体" w:cs="宋体"/>
          <w:color w:val="auto"/>
          <w:sz w:val="24"/>
          <w:highlight w:val="none"/>
        </w:rPr>
        <w:t>133</w:t>
      </w:r>
      <w:r>
        <w:rPr>
          <w:rFonts w:hint="eastAsia" w:ascii="宋体" w:hAnsi="宋体" w:eastAsia="宋体" w:cs="宋体"/>
          <w:color w:val="auto"/>
          <w:sz w:val="24"/>
          <w:highlight w:val="none"/>
          <w:lang w:val="en-US" w:eastAsia="zh-CN"/>
        </w:rPr>
        <w:t>.</w:t>
      </w:r>
      <w:r>
        <w:rPr>
          <w:rFonts w:ascii="宋体" w:hAnsi="宋体" w:eastAsia="宋体" w:cs="宋体"/>
          <w:color w:val="auto"/>
          <w:sz w:val="24"/>
          <w:highlight w:val="none"/>
        </w:rPr>
        <w:t>6</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元。</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公司期末在产品生产的装饰板材、地板和科技木等部分产品以该存货的估计售价减去估计的销售费用和相关税费后的金额确定的可变现净值高于成本，故不存在减值情况，无需计提存货跌价准备。</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公司期末库存商品装饰板材、地板和科技木等部分产品成本高于其可变现净值，</w:t>
      </w:r>
      <w:bookmarkStart w:id="8" w:name="_Hlk6563213"/>
      <w:r>
        <w:rPr>
          <w:rFonts w:hint="eastAsia" w:ascii="宋体" w:hAnsi="宋体" w:eastAsia="宋体" w:cs="宋体"/>
          <w:color w:val="auto"/>
          <w:sz w:val="24"/>
          <w:highlight w:val="none"/>
        </w:rPr>
        <w:t>按照单个存货项目计提了该部分存货跌价准备</w:t>
      </w:r>
      <w:bookmarkEnd w:id="8"/>
      <w:r>
        <w:rPr>
          <w:rFonts w:hint="eastAsia" w:ascii="宋体" w:hAnsi="宋体" w:eastAsia="宋体" w:cs="宋体"/>
          <w:color w:val="auto"/>
          <w:sz w:val="24"/>
          <w:highlight w:val="none"/>
        </w:rPr>
        <w:t>。201</w:t>
      </w:r>
      <w:r>
        <w:rPr>
          <w:rFonts w:ascii="宋体" w:hAnsi="宋体" w:eastAsia="宋体" w:cs="宋体"/>
          <w:color w:val="auto"/>
          <w:sz w:val="24"/>
          <w:highlight w:val="none"/>
        </w:rPr>
        <w:t>8</w:t>
      </w:r>
      <w:r>
        <w:rPr>
          <w:rFonts w:hint="eastAsia" w:ascii="宋体" w:hAnsi="宋体" w:eastAsia="宋体" w:cs="宋体"/>
          <w:color w:val="auto"/>
          <w:sz w:val="24"/>
          <w:highlight w:val="none"/>
        </w:rPr>
        <w:t>年12月31日，公司存在减值情况的库存商品装饰板材、地板和科技木</w:t>
      </w:r>
      <w:r>
        <w:rPr>
          <w:rFonts w:hint="eastAsia" w:ascii="宋体" w:hAnsi="宋体" w:eastAsia="宋体" w:cs="宋体"/>
          <w:color w:val="auto"/>
          <w:sz w:val="24"/>
          <w:highlight w:val="none"/>
          <w:lang w:val="en-US" w:eastAsia="zh-CN"/>
        </w:rPr>
        <w:t>等</w:t>
      </w:r>
      <w:r>
        <w:rPr>
          <w:rFonts w:hint="eastAsia" w:ascii="宋体" w:hAnsi="宋体" w:eastAsia="宋体" w:cs="宋体"/>
          <w:color w:val="auto"/>
          <w:sz w:val="24"/>
          <w:highlight w:val="none"/>
        </w:rPr>
        <w:t>期末账面成本</w:t>
      </w:r>
      <w:r>
        <w:rPr>
          <w:rFonts w:ascii="宋体" w:hAnsi="宋体" w:eastAsia="宋体" w:cs="宋体"/>
          <w:color w:val="auto"/>
          <w:sz w:val="24"/>
          <w:highlight w:val="none"/>
        </w:rPr>
        <w:t>2</w:t>
      </w:r>
      <w:r>
        <w:rPr>
          <w:rFonts w:hint="eastAsia" w:ascii="宋体" w:hAnsi="宋体" w:eastAsia="宋体" w:cs="宋体"/>
          <w:color w:val="auto"/>
          <w:sz w:val="24"/>
          <w:highlight w:val="none"/>
          <w:lang w:val="en-US" w:eastAsia="zh-CN"/>
        </w:rPr>
        <w:t>,</w:t>
      </w:r>
      <w:r>
        <w:rPr>
          <w:rFonts w:ascii="宋体" w:hAnsi="宋体" w:eastAsia="宋体" w:cs="宋体"/>
          <w:color w:val="auto"/>
          <w:sz w:val="24"/>
          <w:highlight w:val="none"/>
        </w:rPr>
        <w:t>732</w:t>
      </w:r>
      <w:r>
        <w:rPr>
          <w:rFonts w:hint="eastAsia" w:ascii="宋体" w:hAnsi="宋体" w:eastAsia="宋体" w:cs="宋体"/>
          <w:color w:val="auto"/>
          <w:sz w:val="24"/>
          <w:highlight w:val="none"/>
          <w:lang w:val="en-US" w:eastAsia="zh-CN"/>
        </w:rPr>
        <w:t>.</w:t>
      </w:r>
      <w:r>
        <w:rPr>
          <w:rFonts w:ascii="宋体" w:hAnsi="宋体" w:eastAsia="宋体" w:cs="宋体"/>
          <w:color w:val="auto"/>
          <w:sz w:val="24"/>
          <w:highlight w:val="none"/>
        </w:rPr>
        <w:t>1</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万</w:t>
      </w:r>
      <w:r>
        <w:rPr>
          <w:rFonts w:hint="eastAsia" w:ascii="宋体" w:hAnsi="宋体" w:eastAsia="宋体" w:cs="宋体"/>
          <w:color w:val="auto"/>
          <w:sz w:val="24"/>
          <w:highlight w:val="none"/>
        </w:rPr>
        <w:t>元，</w:t>
      </w:r>
      <w:bookmarkStart w:id="9" w:name="_Hlk6585175"/>
      <w:r>
        <w:rPr>
          <w:rFonts w:hint="eastAsia" w:ascii="宋体" w:hAnsi="宋体" w:eastAsia="宋体" w:cs="宋体"/>
          <w:color w:val="auto"/>
          <w:sz w:val="24"/>
          <w:highlight w:val="none"/>
        </w:rPr>
        <w:t>以该存货的估计售价减去估计的销售费用和相关税费后的金额确定的可变现净值</w:t>
      </w:r>
      <w:bookmarkEnd w:id="9"/>
      <w:r>
        <w:rPr>
          <w:rFonts w:ascii="宋体" w:hAnsi="宋体" w:eastAsia="宋体" w:cs="宋体"/>
          <w:color w:val="auto"/>
          <w:sz w:val="24"/>
          <w:highlight w:val="none"/>
        </w:rPr>
        <w:t>2</w:t>
      </w:r>
      <w:r>
        <w:rPr>
          <w:rFonts w:hint="eastAsia" w:ascii="宋体" w:hAnsi="宋体" w:eastAsia="宋体" w:cs="宋体"/>
          <w:color w:val="auto"/>
          <w:sz w:val="24"/>
          <w:highlight w:val="none"/>
          <w:lang w:val="en-US" w:eastAsia="zh-CN"/>
        </w:rPr>
        <w:t>,</w:t>
      </w:r>
      <w:r>
        <w:rPr>
          <w:rFonts w:ascii="宋体" w:hAnsi="宋体" w:eastAsia="宋体" w:cs="宋体"/>
          <w:color w:val="auto"/>
          <w:sz w:val="24"/>
          <w:highlight w:val="none"/>
        </w:rPr>
        <w:t>299</w:t>
      </w:r>
      <w:r>
        <w:rPr>
          <w:rFonts w:hint="eastAsia" w:ascii="宋体" w:hAnsi="宋体" w:eastAsia="宋体" w:cs="宋体"/>
          <w:color w:val="auto"/>
          <w:sz w:val="24"/>
          <w:highlight w:val="none"/>
          <w:lang w:val="en-US" w:eastAsia="zh-CN"/>
        </w:rPr>
        <w:t>.</w:t>
      </w:r>
      <w:r>
        <w:rPr>
          <w:rFonts w:ascii="宋体" w:hAnsi="宋体" w:eastAsia="宋体" w:cs="宋体"/>
          <w:color w:val="auto"/>
          <w:sz w:val="24"/>
          <w:highlight w:val="none"/>
        </w:rPr>
        <w:t>99</w:t>
      </w:r>
      <w:r>
        <w:rPr>
          <w:rFonts w:hint="eastAsia" w:ascii="宋体" w:hAnsi="宋体" w:eastAsia="宋体" w:cs="宋体"/>
          <w:color w:val="auto"/>
          <w:sz w:val="24"/>
          <w:highlight w:val="none"/>
          <w:lang w:eastAsia="zh-CN"/>
        </w:rPr>
        <w:t>万</w:t>
      </w:r>
      <w:r>
        <w:rPr>
          <w:rFonts w:hint="eastAsia" w:ascii="宋体" w:hAnsi="宋体" w:eastAsia="宋体" w:cs="宋体"/>
          <w:color w:val="auto"/>
          <w:sz w:val="24"/>
          <w:highlight w:val="none"/>
        </w:rPr>
        <w:t>元，账面成本高于对应的可变现净值</w:t>
      </w:r>
      <w:r>
        <w:rPr>
          <w:rFonts w:ascii="宋体" w:hAnsi="宋体" w:eastAsia="宋体" w:cs="宋体"/>
          <w:color w:val="auto"/>
          <w:sz w:val="24"/>
          <w:highlight w:val="none"/>
        </w:rPr>
        <w:t>432</w:t>
      </w:r>
      <w:r>
        <w:rPr>
          <w:rFonts w:hint="eastAsia" w:ascii="宋体" w:hAnsi="宋体" w:eastAsia="宋体" w:cs="宋体"/>
          <w:color w:val="auto"/>
          <w:sz w:val="24"/>
          <w:highlight w:val="none"/>
          <w:lang w:val="en-US" w:eastAsia="zh-CN"/>
        </w:rPr>
        <w:t>.</w:t>
      </w:r>
      <w:r>
        <w:rPr>
          <w:rFonts w:ascii="宋体" w:hAnsi="宋体" w:eastAsia="宋体" w:cs="宋体"/>
          <w:color w:val="auto"/>
          <w:sz w:val="24"/>
          <w:highlight w:val="none"/>
        </w:rPr>
        <w:t>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万</w:t>
      </w:r>
      <w:r>
        <w:rPr>
          <w:rFonts w:hint="eastAsia" w:ascii="宋体" w:hAnsi="宋体" w:eastAsia="宋体" w:cs="宋体"/>
          <w:color w:val="auto"/>
          <w:sz w:val="24"/>
          <w:highlight w:val="none"/>
        </w:rPr>
        <w:t>元，根据公司会计政策按照单个存货项目计提存货跌价准备</w:t>
      </w:r>
      <w:r>
        <w:rPr>
          <w:rFonts w:ascii="宋体" w:hAnsi="宋体" w:eastAsia="宋体" w:cs="宋体"/>
          <w:color w:val="auto"/>
          <w:sz w:val="24"/>
          <w:highlight w:val="none"/>
        </w:rPr>
        <w:t>432</w:t>
      </w:r>
      <w:r>
        <w:rPr>
          <w:rFonts w:hint="eastAsia" w:ascii="宋体" w:hAnsi="宋体" w:eastAsia="宋体" w:cs="宋体"/>
          <w:color w:val="auto"/>
          <w:sz w:val="24"/>
          <w:highlight w:val="none"/>
          <w:lang w:val="en-US" w:eastAsia="zh-CN"/>
        </w:rPr>
        <w:t>.</w:t>
      </w:r>
      <w:r>
        <w:rPr>
          <w:rFonts w:ascii="宋体" w:hAnsi="宋体" w:eastAsia="宋体" w:cs="宋体"/>
          <w:color w:val="auto"/>
          <w:sz w:val="24"/>
          <w:highlight w:val="none"/>
        </w:rPr>
        <w:t>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万</w:t>
      </w:r>
      <w:r>
        <w:rPr>
          <w:rFonts w:hint="eastAsia" w:ascii="宋体" w:hAnsi="宋体" w:eastAsia="宋体" w:cs="宋体"/>
          <w:color w:val="auto"/>
          <w:sz w:val="24"/>
          <w:highlight w:val="none"/>
        </w:rPr>
        <w:t>元。</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公司在无证据表明遭受对其业务造成重大影响的自然灾害等情况，且市场需求方面保持在较高水平，消耗性生物资产保持较高毛利水平的情况下，消耗性生物资产不存在减值情况，</w:t>
      </w:r>
      <w:bookmarkStart w:id="10" w:name="_Hlk6583834"/>
      <w:r>
        <w:rPr>
          <w:rFonts w:hint="eastAsia" w:ascii="宋体" w:hAnsi="宋体" w:eastAsia="宋体" w:cs="宋体"/>
          <w:color w:val="auto"/>
          <w:sz w:val="24"/>
          <w:highlight w:val="none"/>
        </w:rPr>
        <w:t>无需计提存货跌价准备。</w:t>
      </w:r>
    </w:p>
    <w:bookmarkEnd w:id="10"/>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综上所述，公司在报告期期末计提的存货跌价准备充分，存货账面价值真实反映了公司存货的实际情况。</w:t>
      </w:r>
    </w:p>
    <w:p>
      <w:pPr>
        <w:spacing w:line="360" w:lineRule="auto"/>
        <w:ind w:firstLine="482" w:firstLineChars="200"/>
        <w:outlineLvl w:val="0"/>
        <w:rPr>
          <w:rFonts w:ascii="宋体" w:hAnsi="宋体" w:eastAsia="宋体" w:cs="宋体"/>
          <w:b/>
          <w:bCs/>
          <w:color w:val="auto"/>
          <w:sz w:val="24"/>
          <w:highlight w:val="none"/>
        </w:rPr>
      </w:pPr>
      <w:r>
        <w:rPr>
          <w:rFonts w:hint="eastAsia" w:ascii="宋体" w:hAnsi="宋体" w:eastAsia="宋体" w:cs="宋体"/>
          <w:b/>
          <w:bCs/>
          <w:color w:val="auto"/>
          <w:sz w:val="24"/>
          <w:highlight w:val="none"/>
        </w:rPr>
        <w:t>4、报告期末，你公司长期股权投资账面余额为12,074.53 万元，未计提减值准备。报告期内，联营企业浙江隐竹旅游开发有限公司（以下简称“隐竹旅游”）和德清兔宝宝金鼎资产管理合伙企业（有限合伙）（以下简称“德清兔宝宝”）合计亏损-144.03万元。</w:t>
      </w:r>
    </w:p>
    <w:p>
      <w:pPr>
        <w:spacing w:line="360" w:lineRule="auto"/>
        <w:ind w:firstLine="482" w:firstLineChars="200"/>
        <w:outlineLvl w:val="0"/>
        <w:rPr>
          <w:rFonts w:ascii="宋体" w:hAnsi="宋体" w:eastAsia="宋体" w:cs="宋体"/>
          <w:color w:val="auto"/>
          <w:sz w:val="24"/>
          <w:highlight w:val="none"/>
        </w:rPr>
      </w:pPr>
      <w:r>
        <w:rPr>
          <w:rFonts w:hint="eastAsia" w:ascii="宋体" w:hAnsi="宋体" w:eastAsia="宋体" w:cs="宋体"/>
          <w:b/>
          <w:bCs/>
          <w:color w:val="auto"/>
          <w:sz w:val="24"/>
          <w:highlight w:val="none"/>
        </w:rPr>
        <w:t>（1）年报显示，隐竹旅游是你公司与关联方宿迁德华房地产开发有限公司于2017年共同出资设立，本期对其追加投资2,100万元；本期对德清兔宝宝追加投资9,273.49万元。请结合上述联营企业行业状况、经营情况等，说明在其亏损的情况下，公司追加投资的原因及合理性，并说明其本年亏损的主要原因。</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回答：</w:t>
      </w:r>
    </w:p>
    <w:p>
      <w:pPr>
        <w:spacing w:line="360" w:lineRule="auto"/>
        <w:ind w:firstLine="480" w:firstLineChars="200"/>
        <w:rPr>
          <w:rFonts w:hint="default" w:ascii="宋体" w:hAnsi="宋体" w:eastAsia="宋体" w:cs="宋体"/>
          <w:bCs/>
          <w:color w:val="auto"/>
          <w:sz w:val="24"/>
          <w:highlight w:val="none"/>
          <w:lang w:val="en-US"/>
        </w:rPr>
      </w:pPr>
      <w:r>
        <w:rPr>
          <w:rFonts w:hint="eastAsia" w:ascii="宋体" w:hAnsi="宋体" w:eastAsia="宋体" w:cs="宋体"/>
          <w:bCs/>
          <w:color w:val="auto"/>
          <w:sz w:val="24"/>
          <w:highlight w:val="none"/>
        </w:rPr>
        <w:t>公司于2017年5月25日召开的第六届董事会第三次会议通过了《关于对外投资暨关联交易的议案》。同意公司与关联方宿迁德华房地产开发有限公司共同出资设立浙江隐竹旅游开发有限公司。隐竹旅游注册资本人民币10,000万元，其中本公司出资人民币2,500万元，占注册资本的25%，注册资本分期到位，公司2017年出资400万元，2018年出资2,100万元，全部注册资金已到位。根据项目建设计划，预计2021年底建设完成并开始运营，目前该项目尚在建设期，已经完成土地征用工作和项目整体方案设计等事项，根据年度报表，</w:t>
      </w:r>
      <w:r>
        <w:rPr>
          <w:rFonts w:hint="eastAsia" w:ascii="宋体" w:hAnsi="宋体" w:eastAsia="宋体" w:cs="宋体"/>
          <w:bCs/>
          <w:color w:val="auto"/>
          <w:sz w:val="24"/>
          <w:highlight w:val="none"/>
          <w:lang w:val="en-US" w:eastAsia="zh-CN"/>
        </w:rPr>
        <w:t>该</w:t>
      </w:r>
      <w:r>
        <w:rPr>
          <w:rFonts w:hint="eastAsia" w:ascii="宋体" w:hAnsi="宋体" w:eastAsia="宋体" w:cs="宋体"/>
          <w:bCs/>
          <w:color w:val="auto"/>
          <w:sz w:val="24"/>
          <w:highlight w:val="none"/>
        </w:rPr>
        <w:t>项目年度亏损</w:t>
      </w:r>
      <w:r>
        <w:rPr>
          <w:rFonts w:hint="eastAsia" w:ascii="宋体" w:hAnsi="宋体" w:eastAsia="宋体" w:cs="宋体"/>
          <w:bCs/>
          <w:color w:val="auto"/>
          <w:sz w:val="24"/>
          <w:highlight w:val="none"/>
          <w:lang w:val="en-US" w:eastAsia="zh-CN"/>
        </w:rPr>
        <w:t>12.17万元</w:t>
      </w:r>
      <w:r>
        <w:rPr>
          <w:rFonts w:hint="eastAsia" w:ascii="宋体" w:hAnsi="宋体" w:eastAsia="宋体" w:cs="宋体"/>
          <w:bCs/>
          <w:color w:val="auto"/>
          <w:sz w:val="24"/>
          <w:highlight w:val="none"/>
        </w:rPr>
        <w:t>，主要是建设期的管理费用等</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按照持股比例，公司承担亏损3.04万元。</w:t>
      </w:r>
    </w:p>
    <w:p>
      <w:pPr>
        <w:spacing w:line="360" w:lineRule="auto"/>
        <w:ind w:firstLine="480" w:firstLineChars="200"/>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德清兔宝宝金鼎资产管理合伙企业主要针对公司上下游产业链进行投资布局</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2018年新增投资项目分别为：衢州龙威新材料股份有限公司、青岛裕丰汉唐木业有限公司、法狮龙家居建材股份有限公司，截至2018年底，该基金尚未获得分红或者项目退出收益，</w:t>
      </w:r>
      <w:r>
        <w:rPr>
          <w:rFonts w:hint="eastAsia" w:ascii="宋体" w:hAnsi="宋体" w:eastAsia="宋体" w:cs="宋体"/>
          <w:bCs/>
          <w:color w:val="auto"/>
          <w:sz w:val="24"/>
          <w:highlight w:val="none"/>
          <w:lang w:val="en-US" w:eastAsia="zh-CN"/>
        </w:rPr>
        <w:t>该基金</w:t>
      </w:r>
      <w:r>
        <w:rPr>
          <w:rFonts w:hint="eastAsia" w:ascii="宋体" w:hAnsi="宋体" w:eastAsia="宋体" w:cs="宋体"/>
          <w:bCs/>
          <w:color w:val="auto"/>
          <w:sz w:val="24"/>
          <w:highlight w:val="none"/>
        </w:rPr>
        <w:t>年度亏损为</w:t>
      </w:r>
      <w:r>
        <w:rPr>
          <w:rFonts w:hint="eastAsia" w:ascii="宋体" w:hAnsi="宋体" w:eastAsia="宋体" w:cs="宋体"/>
          <w:bCs/>
          <w:color w:val="auto"/>
          <w:sz w:val="24"/>
          <w:highlight w:val="none"/>
          <w:lang w:val="en-US" w:eastAsia="zh-CN"/>
        </w:rPr>
        <w:t>170.89万元</w:t>
      </w:r>
      <w:r>
        <w:rPr>
          <w:rFonts w:hint="eastAsia" w:ascii="宋体" w:hAnsi="宋体" w:eastAsia="宋体" w:cs="宋体"/>
          <w:bCs/>
          <w:color w:val="auto"/>
          <w:sz w:val="24"/>
          <w:highlight w:val="none"/>
        </w:rPr>
        <w:t>，主要是基金管理费和银行手续费等</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按照持股比例，公司承担亏损</w:t>
      </w:r>
      <w:r>
        <w:rPr>
          <w:rFonts w:hint="eastAsia" w:ascii="宋体" w:hAnsi="宋体" w:eastAsia="宋体" w:cs="宋体"/>
          <w:bCs/>
          <w:color w:val="auto"/>
          <w:sz w:val="24"/>
          <w:highlight w:val="none"/>
        </w:rPr>
        <w:t>140.99万元</w:t>
      </w:r>
      <w:r>
        <w:rPr>
          <w:rFonts w:hint="eastAsia" w:ascii="宋体" w:hAnsi="宋体" w:eastAsia="宋体" w:cs="宋体"/>
          <w:bCs/>
          <w:color w:val="auto"/>
          <w:sz w:val="24"/>
          <w:highlight w:val="none"/>
          <w:lang w:eastAsia="zh-CN"/>
        </w:rPr>
        <w:t>。</w:t>
      </w:r>
    </w:p>
    <w:p>
      <w:pPr>
        <w:numPr>
          <w:ilvl w:val="0"/>
          <w:numId w:val="3"/>
        </w:numPr>
        <w:spacing w:line="360" w:lineRule="auto"/>
        <w:ind w:firstLine="482" w:firstLineChars="200"/>
        <w:outlineLvl w:val="0"/>
        <w:rPr>
          <w:rFonts w:ascii="宋体" w:hAnsi="宋体" w:eastAsia="宋体" w:cs="宋体"/>
          <w:b/>
          <w:bCs/>
          <w:color w:val="auto"/>
          <w:sz w:val="24"/>
          <w:highlight w:val="none"/>
        </w:rPr>
      </w:pPr>
      <w:r>
        <w:rPr>
          <w:rFonts w:hint="eastAsia" w:ascii="宋体" w:hAnsi="宋体" w:eastAsia="宋体" w:cs="宋体"/>
          <w:b/>
          <w:bCs/>
          <w:color w:val="auto"/>
          <w:sz w:val="24"/>
          <w:highlight w:val="none"/>
        </w:rPr>
        <w:t>结合公司减值测试过程、具体假设及参数选取情况，说明对长期股权投资未计提减值损失的原因及合理性，以及是否符合《企业会计准则》的相关规定。</w:t>
      </w:r>
    </w:p>
    <w:p>
      <w:pPr>
        <w:spacing w:line="360" w:lineRule="auto"/>
        <w:ind w:left="0" w:leftChars="0" w:firstLine="480" w:firstLineChars="200"/>
        <w:outlineLvl w:val="0"/>
        <w:rPr>
          <w:rFonts w:ascii="宋体" w:hAnsi="宋体" w:eastAsia="宋体" w:cs="宋体"/>
          <w:bCs/>
          <w:color w:val="auto"/>
          <w:sz w:val="24"/>
          <w:highlight w:val="none"/>
        </w:rPr>
      </w:pPr>
      <w:r>
        <w:rPr>
          <w:rFonts w:hint="eastAsia" w:ascii="宋体" w:hAnsi="宋体" w:eastAsia="宋体" w:cs="宋体"/>
          <w:bCs/>
          <w:color w:val="auto"/>
          <w:sz w:val="24"/>
          <w:highlight w:val="none"/>
        </w:rPr>
        <w:t>回答：</w:t>
      </w:r>
    </w:p>
    <w:p>
      <w:pPr>
        <w:spacing w:line="360" w:lineRule="auto"/>
        <w:ind w:left="0" w:leftChars="0" w:firstLine="480" w:firstLineChars="200"/>
        <w:outlineLvl w:val="0"/>
        <w:rPr>
          <w:rFonts w:ascii="宋体" w:hAnsi="宋体" w:eastAsia="宋体" w:cs="宋体"/>
          <w:bCs/>
          <w:color w:val="auto"/>
          <w:sz w:val="24"/>
          <w:highlight w:val="none"/>
        </w:rPr>
      </w:pPr>
      <w:r>
        <w:rPr>
          <w:rFonts w:hint="eastAsia" w:ascii="宋体" w:hAnsi="宋体" w:eastAsia="宋体" w:cs="宋体"/>
          <w:bCs/>
          <w:color w:val="auto"/>
          <w:sz w:val="24"/>
          <w:highlight w:val="none"/>
        </w:rPr>
        <w:t>根据《企业会计准则第8号——资产减值》中的规定，“企业应当在资产负债表日判断资产是否存在可能发生减值的迹象。因企业合并所形成的商誉和使用寿命不确定的无形资产，无论是否存在减值迹象，每年都应当进行减值测试。”</w:t>
      </w:r>
    </w:p>
    <w:p>
      <w:pPr>
        <w:spacing w:line="360" w:lineRule="auto"/>
        <w:ind w:left="0" w:leftChars="0" w:firstLine="480" w:firstLineChars="200"/>
        <w:outlineLvl w:val="0"/>
        <w:rPr>
          <w:rFonts w:ascii="宋体" w:hAnsi="宋体" w:eastAsia="宋体" w:cs="宋体"/>
          <w:bCs/>
          <w:color w:val="auto"/>
          <w:sz w:val="24"/>
          <w:highlight w:val="none"/>
        </w:rPr>
      </w:pPr>
      <w:r>
        <w:rPr>
          <w:rFonts w:hint="eastAsia" w:ascii="宋体" w:hAnsi="宋体" w:eastAsia="宋体" w:cs="宋体"/>
          <w:bCs/>
          <w:color w:val="auto"/>
          <w:sz w:val="24"/>
          <w:highlight w:val="none"/>
        </w:rPr>
        <w:t>根据《企业会计准则第8号——资产减值》中的规定，判断是否存在减值迹象的条件包括：“（一）资产的市价当期大幅度下跌，其跌幅明显高于因时间的推移或者正常使用而预计的下跌。（二）企业经营所处的经济、技术或者法律等环境以及资产所处的市场在当期或者将在近期发生重大变化，从而对企业产生不利影响。（三）市场利率或者其他市场投资报酬率在当期已经提高，从而影响企业计算资产预计未来现金流量现值的折现率，导致资产可收回金额大幅度降低。（四）有证据表明资产已经陈旧过时或者其实体已经损坏。（五）资产已经或者将被闲置、终止使用或者计划提前处置。（六）企业内部报告的证据表明资产的经济绩效已经低于或者将低于预期，如资产所创造的净现金流量或者实现的营业利润（或者亏损）远远低于（或者高于）预计金额等。（七）其他表明资产可能已经发生减值的迹象。”</w:t>
      </w:r>
    </w:p>
    <w:p>
      <w:pPr>
        <w:spacing w:line="360" w:lineRule="auto"/>
        <w:ind w:left="0" w:leftChars="0" w:firstLine="480" w:firstLineChars="200"/>
        <w:outlineLvl w:val="0"/>
        <w:rPr>
          <w:rFonts w:ascii="宋体" w:hAnsi="宋体" w:eastAsia="宋体" w:cs="宋体"/>
          <w:bCs/>
          <w:color w:val="auto"/>
          <w:sz w:val="24"/>
          <w:highlight w:val="none"/>
        </w:rPr>
      </w:pPr>
      <w:r>
        <w:rPr>
          <w:rFonts w:hint="eastAsia" w:ascii="宋体" w:hAnsi="宋体" w:eastAsia="宋体" w:cs="宋体"/>
          <w:bCs/>
          <w:color w:val="auto"/>
          <w:sz w:val="24"/>
          <w:highlight w:val="none"/>
        </w:rPr>
        <w:t>公司2017年投资隐竹旅游以来，该公司的旅游项目正常推进，当前已经完成土地征用工作和项目整体方案设计等事项，开发进度符合项目建设计划，预计项目将于2021年底建设完成并开始运营。隐竹旅游的主要资产为项目的建设投入，不存在资产闲置或提前处置等迹象，没有发现近期存在资产市价大幅下跌或经营环境恶化等情况。因此，没有发现公司对隐竹旅游的股权投资存在减值迹象。</w:t>
      </w:r>
    </w:p>
    <w:p>
      <w:pPr>
        <w:spacing w:line="360" w:lineRule="auto"/>
        <w:ind w:left="0" w:leftChars="0" w:firstLine="480" w:firstLineChars="200"/>
        <w:outlineLvl w:val="0"/>
        <w:rPr>
          <w:rFonts w:ascii="宋体" w:hAnsi="宋体" w:eastAsia="宋体" w:cs="宋体"/>
          <w:bCs/>
          <w:color w:val="auto"/>
          <w:sz w:val="24"/>
          <w:highlight w:val="none"/>
        </w:rPr>
      </w:pPr>
      <w:r>
        <w:rPr>
          <w:rFonts w:hint="eastAsia" w:ascii="宋体" w:hAnsi="宋体" w:eastAsia="宋体" w:cs="宋体"/>
          <w:bCs/>
          <w:color w:val="auto"/>
          <w:sz w:val="24"/>
          <w:highlight w:val="none"/>
        </w:rPr>
        <w:t>德清兔宝宝金鼎资产管理合伙企业当前通过基金公司参股投资了</w:t>
      </w:r>
      <w:r>
        <w:rPr>
          <w:rFonts w:hint="eastAsia" w:ascii="宋体" w:hAnsi="宋体" w:eastAsia="宋体" w:cs="宋体"/>
          <w:bCs/>
          <w:color w:val="auto"/>
          <w:sz w:val="24"/>
          <w:highlight w:val="none"/>
          <w:lang w:val="en-US" w:eastAsia="zh-CN"/>
        </w:rPr>
        <w:t>汉唐</w:t>
      </w:r>
      <w:r>
        <w:rPr>
          <w:rFonts w:hint="eastAsia" w:ascii="宋体" w:hAnsi="宋体" w:eastAsia="宋体" w:cs="宋体"/>
          <w:bCs/>
          <w:color w:val="auto"/>
          <w:sz w:val="24"/>
          <w:highlight w:val="none"/>
        </w:rPr>
        <w:t>等</w:t>
      </w:r>
      <w:r>
        <w:rPr>
          <w:rFonts w:hint="eastAsia" w:ascii="宋体" w:hAnsi="宋体" w:eastAsia="宋体" w:cs="宋体"/>
          <w:bCs/>
          <w:color w:val="auto"/>
          <w:sz w:val="24"/>
          <w:highlight w:val="none"/>
          <w:lang w:val="en-US" w:eastAsia="zh-CN"/>
        </w:rPr>
        <w:t>4家</w:t>
      </w:r>
      <w:r>
        <w:rPr>
          <w:rFonts w:hint="eastAsia" w:ascii="宋体" w:hAnsi="宋体" w:eastAsia="宋体" w:cs="宋体"/>
          <w:bCs/>
          <w:color w:val="auto"/>
          <w:sz w:val="24"/>
          <w:highlight w:val="none"/>
        </w:rPr>
        <w:t>企业。从被投资企业提供的会计报表看2018年利润实现情况均良好，不存在亏损以及资产大幅贬值情况，也没有发现被投资企业的外部经营环境恶化的迹象。德清兔宝宝金鼎资产管理合伙企业2018年的亏损主要是对长期股权投资采用成本法核算没有反映被投资企业的盈利，且被投资企业尚未分红，而公司支出是基金管理费和银行手续费等支出导致的。因此，对德清兔宝宝金鼎资产管理合伙企业的长期股权投资没有发现存在减值迹象。</w:t>
      </w:r>
    </w:p>
    <w:p>
      <w:pPr>
        <w:spacing w:line="360" w:lineRule="auto"/>
        <w:ind w:left="0" w:leftChars="0" w:firstLine="480" w:firstLineChars="200"/>
        <w:outlineLvl w:val="0"/>
        <w:rPr>
          <w:rFonts w:ascii="宋体" w:hAnsi="宋体" w:eastAsia="宋体" w:cs="宋体"/>
          <w:bCs/>
          <w:color w:val="auto"/>
          <w:sz w:val="24"/>
          <w:highlight w:val="none"/>
        </w:rPr>
      </w:pPr>
      <w:r>
        <w:rPr>
          <w:rFonts w:hint="eastAsia" w:ascii="宋体" w:hAnsi="宋体" w:eastAsia="宋体" w:cs="宋体"/>
          <w:bCs/>
          <w:color w:val="auto"/>
          <w:sz w:val="24"/>
          <w:highlight w:val="none"/>
        </w:rPr>
        <w:t>综上，根据《企业会计准则》的相关规定，没有发现长期股权投资存在减值迹象，因此未对长期股权投资计提减值损失。</w:t>
      </w:r>
    </w:p>
    <w:p>
      <w:pPr>
        <w:spacing w:line="360" w:lineRule="auto"/>
        <w:outlineLvl w:val="0"/>
        <w:rPr>
          <w:rFonts w:ascii="宋体" w:hAnsi="宋体" w:eastAsia="宋体" w:cs="宋体"/>
          <w:color w:val="auto"/>
          <w:sz w:val="24"/>
          <w:highlight w:val="none"/>
        </w:rPr>
      </w:pPr>
    </w:p>
    <w:p>
      <w:pPr>
        <w:numPr>
          <w:ilvl w:val="0"/>
          <w:numId w:val="4"/>
        </w:numPr>
        <w:spacing w:line="360" w:lineRule="auto"/>
        <w:ind w:firstLine="482" w:firstLineChars="200"/>
        <w:outlineLvl w:val="0"/>
        <w:rPr>
          <w:rFonts w:ascii="宋体" w:hAnsi="宋体" w:eastAsia="宋体" w:cs="宋体"/>
          <w:b/>
          <w:bCs/>
          <w:color w:val="auto"/>
          <w:sz w:val="24"/>
          <w:highlight w:val="none"/>
        </w:rPr>
      </w:pPr>
      <w:r>
        <w:rPr>
          <w:rFonts w:hint="eastAsia" w:ascii="宋体" w:hAnsi="宋体" w:eastAsia="宋体" w:cs="宋体"/>
          <w:b/>
          <w:bCs/>
          <w:color w:val="auto"/>
          <w:sz w:val="24"/>
          <w:highlight w:val="none"/>
        </w:rPr>
        <w:t>报告期内，你公司实现营业收入43.06亿元，同比增长4.54%；归属于上市公司股东的扣除非经常性损益的净利润（以下简称“扣非后净利润”）2.50亿元，同比降低20.05%。请结合公司产品结构及产量、价格、毛利率、费用等因素，说明营业收入上升而扣非后净利润下降的原因。</w:t>
      </w:r>
    </w:p>
    <w:p>
      <w:pPr>
        <w:spacing w:line="360" w:lineRule="auto"/>
        <w:ind w:firstLine="480" w:firstLineChars="200"/>
        <w:outlineLvl w:val="0"/>
        <w:rPr>
          <w:rFonts w:ascii="宋体" w:hAnsi="宋体" w:eastAsia="宋体" w:cs="宋体"/>
          <w:bCs/>
          <w:color w:val="auto"/>
          <w:sz w:val="24"/>
          <w:highlight w:val="none"/>
        </w:rPr>
      </w:pPr>
      <w:r>
        <w:rPr>
          <w:rFonts w:hint="eastAsia" w:ascii="宋体" w:hAnsi="宋体" w:eastAsia="宋体" w:cs="宋体"/>
          <w:bCs/>
          <w:color w:val="auto"/>
          <w:sz w:val="24"/>
          <w:highlight w:val="none"/>
        </w:rPr>
        <w:t>回答：</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公司2018年实现营业收入43.06亿元，同比增长4.54%；归属于上市公司股东的扣除非经常性损益的净利润（以下简称“扣非后净利润”）2.50亿元，同比降低20.05%，主要原因如下：</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1）毛利同比增加748.21万元，同比增加1.05%，与销售收入增幅不成正比，主要原因为2016年12月美国商务部展开的对原产自中国的硬木胶合板产品反倾销调查。并于2017年11月作出倾销最终裁定，认定存在倾销行为裁定中国企业倾销幅度为183.36%。2018年来源于美国的装饰板订单</w:t>
      </w:r>
      <w:r>
        <w:rPr>
          <w:rFonts w:hint="eastAsia" w:ascii="宋体" w:hAnsi="宋体" w:eastAsia="宋体" w:cs="宋体"/>
          <w:color w:val="auto"/>
          <w:sz w:val="24"/>
          <w:highlight w:val="none"/>
          <w:lang w:val="en-US" w:eastAsia="zh-CN"/>
        </w:rPr>
        <w:t>大幅减少</w:t>
      </w:r>
      <w:r>
        <w:rPr>
          <w:rFonts w:hint="eastAsia" w:ascii="宋体" w:hAnsi="宋体" w:eastAsia="宋体" w:cs="宋体"/>
          <w:color w:val="auto"/>
          <w:sz w:val="24"/>
          <w:highlight w:val="none"/>
        </w:rPr>
        <w:t>，出口销售收入同比减少6</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767万元，且因销量下降导致产能不足，固定成本增加，毛利率下降，出口业务毛利下降1</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664.74万元；</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（2）销售费用同比增加2</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091.47万元，主要原因为本期新增工程、儿童家居、橱柜分公司，人员增加，相应费用增加，以及市场宣传推广费用及年会费用增加；</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（3）管理费用同比增加2</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850.98万元，主要原因本期职工薪酬、培训费用、固定资产大修理投入等增加；</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（4）财务费用同比增加2</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776.44万元，主要原因为报告期对外投资增加、回购社会公众股及股权激励股后，流动资金不足，流动资金借款利息支出增加。</w:t>
      </w:r>
    </w:p>
    <w:p>
      <w:pPr>
        <w:spacing w:line="360" w:lineRule="auto"/>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综上所述，公司营业收入同比增加4.54%，扣非后净利润下降20.05%的主要系公司本期销售费用、管理费用、财务费用三项费用同比增加所致。</w:t>
      </w:r>
    </w:p>
    <w:p>
      <w:pPr>
        <w:spacing w:line="360" w:lineRule="auto"/>
        <w:ind w:firstLine="480" w:firstLineChars="200"/>
        <w:outlineLvl w:val="0"/>
        <w:rPr>
          <w:rFonts w:ascii="宋体" w:hAnsi="宋体" w:eastAsia="宋体" w:cs="宋体"/>
          <w:color w:val="auto"/>
          <w:sz w:val="24"/>
          <w:highlight w:val="none"/>
        </w:rPr>
      </w:pPr>
    </w:p>
    <w:p>
      <w:pPr>
        <w:pStyle w:val="12"/>
        <w:numPr>
          <w:ilvl w:val="0"/>
          <w:numId w:val="4"/>
        </w:numPr>
        <w:spacing w:line="360" w:lineRule="auto"/>
        <w:ind w:firstLineChars="0"/>
        <w:outlineLvl w:val="0"/>
        <w:rPr>
          <w:rFonts w:ascii="宋体" w:hAnsi="宋体" w:eastAsia="宋体" w:cs="宋体"/>
          <w:b/>
          <w:bCs/>
          <w:color w:val="auto"/>
          <w:sz w:val="24"/>
          <w:highlight w:val="none"/>
        </w:rPr>
      </w:pPr>
      <w:r>
        <w:rPr>
          <w:rFonts w:hint="eastAsia" w:ascii="宋体" w:hAnsi="宋体" w:eastAsia="宋体" w:cs="宋体"/>
          <w:b/>
          <w:bCs/>
          <w:color w:val="auto"/>
          <w:sz w:val="24"/>
          <w:highlight w:val="none"/>
        </w:rPr>
        <w:t>报告期内，你公司财务费用发生额为2,995.80万元，同比增长1265.75%，年报显示，公司本期新增短期借款7.93亿元。请结合对外投资、回购股权等因素，补充说明你公司</w:t>
      </w:r>
      <w:bookmarkStart w:id="11" w:name="_Hlk6514119"/>
      <w:r>
        <w:rPr>
          <w:rFonts w:hint="eastAsia" w:ascii="宋体" w:hAnsi="宋体" w:eastAsia="宋体" w:cs="宋体"/>
          <w:b/>
          <w:bCs/>
          <w:color w:val="auto"/>
          <w:sz w:val="24"/>
          <w:highlight w:val="none"/>
        </w:rPr>
        <w:t>短期借款和财务费用大幅增加</w:t>
      </w:r>
      <w:bookmarkEnd w:id="11"/>
      <w:r>
        <w:rPr>
          <w:rFonts w:hint="eastAsia" w:ascii="宋体" w:hAnsi="宋体" w:eastAsia="宋体" w:cs="宋体"/>
          <w:b/>
          <w:bCs/>
          <w:color w:val="auto"/>
          <w:sz w:val="24"/>
          <w:highlight w:val="none"/>
        </w:rPr>
        <w:t>的原因及合理性，并说明上述事项可能对你公司正常生产经营、运营资金需求等带来的影响。</w:t>
      </w:r>
    </w:p>
    <w:p>
      <w:pPr>
        <w:pStyle w:val="12"/>
        <w:spacing w:line="360" w:lineRule="auto"/>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回答：</w:t>
      </w:r>
      <w:bookmarkStart w:id="12" w:name="_Hlk6515372"/>
    </w:p>
    <w:p>
      <w:pPr>
        <w:pStyle w:val="12"/>
        <w:spacing w:line="360" w:lineRule="auto"/>
        <w:ind w:firstLine="480"/>
        <w:outlineLvl w:val="0"/>
        <w:rPr>
          <w:rFonts w:ascii="宋体" w:hAnsi="宋体" w:eastAsia="宋体" w:cs="宋体"/>
          <w:color w:val="auto"/>
          <w:sz w:val="24"/>
          <w:highlight w:val="none"/>
        </w:rPr>
      </w:pPr>
      <w:r>
        <w:rPr>
          <w:rFonts w:hint="eastAsia" w:ascii="宋体" w:hAnsi="宋体" w:eastAsia="宋体" w:cs="宋体"/>
          <w:color w:val="auto"/>
          <w:sz w:val="24"/>
          <w:highlight w:val="none"/>
        </w:rPr>
        <w:t>（一）短期借款和财务费用大幅增加</w:t>
      </w:r>
      <w:bookmarkEnd w:id="12"/>
      <w:r>
        <w:rPr>
          <w:rFonts w:hint="eastAsia" w:ascii="宋体" w:hAnsi="宋体" w:eastAsia="宋体" w:cs="宋体"/>
          <w:color w:val="auto"/>
          <w:sz w:val="24"/>
          <w:highlight w:val="none"/>
        </w:rPr>
        <w:t>的原因及合理性</w:t>
      </w:r>
    </w:p>
    <w:p>
      <w:pPr>
        <w:pStyle w:val="12"/>
        <w:spacing w:line="360" w:lineRule="auto"/>
        <w:ind w:firstLine="480"/>
        <w:outlineLvl w:val="0"/>
        <w:rPr>
          <w:rFonts w:ascii="宋体" w:hAnsi="宋体" w:eastAsia="宋体" w:cs="宋体"/>
          <w:bCs/>
          <w:color w:val="auto"/>
          <w:sz w:val="24"/>
          <w:highlight w:val="none"/>
        </w:rPr>
      </w:pPr>
      <w:bookmarkStart w:id="13" w:name="_Hlk6559258"/>
      <w:r>
        <w:rPr>
          <w:rFonts w:hint="eastAsia" w:ascii="宋体" w:hAnsi="宋体" w:eastAsia="宋体" w:cs="宋体"/>
          <w:bCs/>
          <w:color w:val="auto"/>
          <w:sz w:val="24"/>
          <w:highlight w:val="none"/>
        </w:rPr>
        <w:t>201</w:t>
      </w:r>
      <w:r>
        <w:rPr>
          <w:rFonts w:ascii="宋体" w:hAnsi="宋体" w:eastAsia="宋体" w:cs="宋体"/>
          <w:bCs/>
          <w:color w:val="auto"/>
          <w:sz w:val="24"/>
          <w:highlight w:val="none"/>
        </w:rPr>
        <w:t>8</w:t>
      </w:r>
      <w:r>
        <w:rPr>
          <w:rFonts w:hint="eastAsia" w:ascii="宋体" w:hAnsi="宋体" w:eastAsia="宋体" w:cs="宋体"/>
          <w:bCs/>
          <w:color w:val="auto"/>
          <w:sz w:val="24"/>
          <w:highlight w:val="none"/>
        </w:rPr>
        <w:t>年公司财务费用为</w:t>
      </w:r>
      <w:r>
        <w:rPr>
          <w:rFonts w:ascii="宋体" w:hAnsi="宋体" w:eastAsia="宋体" w:cs="宋体"/>
          <w:bCs/>
          <w:color w:val="auto"/>
          <w:sz w:val="24"/>
          <w:highlight w:val="none"/>
        </w:rPr>
        <w:t>2</w:t>
      </w:r>
      <w:r>
        <w:rPr>
          <w:rFonts w:hint="eastAsia" w:ascii="宋体" w:hAnsi="宋体" w:eastAsia="宋体" w:cs="宋体"/>
          <w:bCs/>
          <w:color w:val="auto"/>
          <w:sz w:val="24"/>
          <w:highlight w:val="none"/>
          <w:lang w:val="en-US" w:eastAsia="zh-CN"/>
        </w:rPr>
        <w:t>,</w:t>
      </w:r>
      <w:r>
        <w:rPr>
          <w:rFonts w:ascii="宋体" w:hAnsi="宋体" w:eastAsia="宋体" w:cs="宋体"/>
          <w:bCs/>
          <w:color w:val="auto"/>
          <w:sz w:val="24"/>
          <w:highlight w:val="none"/>
        </w:rPr>
        <w:t>995</w:t>
      </w:r>
      <w:r>
        <w:rPr>
          <w:rFonts w:hint="eastAsia" w:ascii="宋体" w:hAnsi="宋体" w:eastAsia="宋体" w:cs="宋体"/>
          <w:bCs/>
          <w:color w:val="auto"/>
          <w:sz w:val="24"/>
          <w:highlight w:val="none"/>
          <w:lang w:val="en-US" w:eastAsia="zh-CN"/>
        </w:rPr>
        <w:t>.80</w:t>
      </w:r>
      <w:r>
        <w:rPr>
          <w:rFonts w:hint="eastAsia" w:ascii="宋体" w:hAnsi="宋体" w:eastAsia="宋体" w:cs="宋体"/>
          <w:color w:val="auto"/>
          <w:sz w:val="24"/>
          <w:highlight w:val="none"/>
          <w:lang w:eastAsia="zh-CN"/>
        </w:rPr>
        <w:t>万</w:t>
      </w:r>
      <w:r>
        <w:rPr>
          <w:rFonts w:hint="eastAsia" w:ascii="宋体" w:hAnsi="宋体" w:eastAsia="宋体" w:cs="宋体"/>
          <w:bCs/>
          <w:color w:val="auto"/>
          <w:sz w:val="24"/>
          <w:highlight w:val="none"/>
        </w:rPr>
        <w:t>元</w:t>
      </w:r>
      <w:bookmarkEnd w:id="13"/>
      <w:r>
        <w:rPr>
          <w:rFonts w:hint="eastAsia" w:ascii="宋体" w:hAnsi="宋体" w:eastAsia="宋体" w:cs="宋体"/>
          <w:bCs/>
          <w:color w:val="auto"/>
          <w:sz w:val="24"/>
          <w:highlight w:val="none"/>
        </w:rPr>
        <w:t>(其中：利息支出</w:t>
      </w:r>
      <w:r>
        <w:rPr>
          <w:rFonts w:ascii="宋体" w:hAnsi="宋体" w:eastAsia="宋体" w:cs="宋体"/>
          <w:bCs/>
          <w:color w:val="auto"/>
          <w:sz w:val="24"/>
          <w:highlight w:val="none"/>
        </w:rPr>
        <w:t>2</w:t>
      </w:r>
      <w:r>
        <w:rPr>
          <w:rFonts w:hint="eastAsia" w:ascii="宋体" w:hAnsi="宋体" w:eastAsia="宋体" w:cs="宋体"/>
          <w:bCs/>
          <w:color w:val="auto"/>
          <w:sz w:val="24"/>
          <w:highlight w:val="none"/>
        </w:rPr>
        <w:t>,</w:t>
      </w:r>
      <w:r>
        <w:rPr>
          <w:rFonts w:ascii="宋体" w:hAnsi="宋体" w:eastAsia="宋体" w:cs="宋体"/>
          <w:bCs/>
          <w:color w:val="auto"/>
          <w:sz w:val="24"/>
          <w:highlight w:val="none"/>
        </w:rPr>
        <w:t>5</w:t>
      </w:r>
      <w:r>
        <w:rPr>
          <w:rFonts w:hint="eastAsia" w:ascii="宋体" w:hAnsi="宋体" w:eastAsia="宋体" w:cs="宋体"/>
          <w:bCs/>
          <w:color w:val="auto"/>
          <w:sz w:val="24"/>
          <w:highlight w:val="none"/>
        </w:rPr>
        <w:t>89.25</w:t>
      </w:r>
      <w:r>
        <w:rPr>
          <w:rFonts w:hint="eastAsia" w:ascii="宋体" w:hAnsi="宋体" w:eastAsia="宋体" w:cs="宋体"/>
          <w:color w:val="auto"/>
          <w:sz w:val="24"/>
          <w:highlight w:val="none"/>
          <w:lang w:eastAsia="zh-CN"/>
        </w:rPr>
        <w:t>万</w:t>
      </w:r>
      <w:r>
        <w:rPr>
          <w:rFonts w:hint="eastAsia" w:ascii="宋体" w:hAnsi="宋体" w:eastAsia="宋体" w:cs="宋体"/>
          <w:bCs/>
          <w:color w:val="auto"/>
          <w:sz w:val="24"/>
          <w:highlight w:val="none"/>
        </w:rPr>
        <w:t>元</w:t>
      </w:r>
      <w:r>
        <w:rPr>
          <w:rFonts w:ascii="宋体" w:hAnsi="宋体" w:eastAsia="宋体" w:cs="宋体"/>
          <w:bCs/>
          <w:color w:val="auto"/>
          <w:sz w:val="24"/>
          <w:highlight w:val="none"/>
        </w:rPr>
        <w:t>)</w:t>
      </w:r>
      <w:r>
        <w:rPr>
          <w:rFonts w:hint="eastAsia" w:ascii="宋体" w:hAnsi="宋体" w:eastAsia="宋体" w:cs="宋体"/>
          <w:bCs/>
          <w:color w:val="auto"/>
          <w:sz w:val="24"/>
          <w:highlight w:val="none"/>
        </w:rPr>
        <w:t>，同比201</w:t>
      </w:r>
      <w:r>
        <w:rPr>
          <w:rFonts w:ascii="宋体" w:hAnsi="宋体" w:eastAsia="宋体" w:cs="宋体"/>
          <w:bCs/>
          <w:color w:val="auto"/>
          <w:sz w:val="24"/>
          <w:highlight w:val="none"/>
        </w:rPr>
        <w:t>7</w:t>
      </w:r>
      <w:r>
        <w:rPr>
          <w:rFonts w:hint="eastAsia" w:ascii="宋体" w:hAnsi="宋体" w:eastAsia="宋体" w:cs="宋体"/>
          <w:bCs/>
          <w:color w:val="auto"/>
          <w:sz w:val="24"/>
          <w:highlight w:val="none"/>
        </w:rPr>
        <w:t>年</w:t>
      </w:r>
      <w:r>
        <w:rPr>
          <w:rFonts w:ascii="宋体" w:hAnsi="宋体" w:eastAsia="宋体" w:cs="宋体"/>
          <w:bCs/>
          <w:color w:val="auto"/>
          <w:sz w:val="24"/>
          <w:highlight w:val="none"/>
        </w:rPr>
        <w:t>219</w:t>
      </w:r>
      <w:r>
        <w:rPr>
          <w:rFonts w:hint="eastAsia" w:ascii="宋体" w:hAnsi="宋体" w:eastAsia="宋体" w:cs="宋体"/>
          <w:bCs/>
          <w:color w:val="auto"/>
          <w:sz w:val="24"/>
          <w:highlight w:val="none"/>
          <w:lang w:val="en-US" w:eastAsia="zh-CN"/>
        </w:rPr>
        <w:t>.</w:t>
      </w:r>
      <w:r>
        <w:rPr>
          <w:rFonts w:ascii="宋体" w:hAnsi="宋体" w:eastAsia="宋体" w:cs="宋体"/>
          <w:bCs/>
          <w:color w:val="auto"/>
          <w:sz w:val="24"/>
          <w:highlight w:val="none"/>
        </w:rPr>
        <w:t>3</w:t>
      </w:r>
      <w:r>
        <w:rPr>
          <w:rFonts w:hint="eastAsia" w:ascii="宋体" w:hAnsi="宋体" w:eastAsia="宋体" w:cs="宋体"/>
          <w:bCs/>
          <w:color w:val="auto"/>
          <w:sz w:val="24"/>
          <w:highlight w:val="none"/>
          <w:lang w:val="en-US" w:eastAsia="zh-CN"/>
        </w:rPr>
        <w:t>5</w:t>
      </w:r>
      <w:r>
        <w:rPr>
          <w:rFonts w:hint="eastAsia" w:ascii="宋体" w:hAnsi="宋体" w:eastAsia="宋体" w:cs="宋体"/>
          <w:color w:val="auto"/>
          <w:sz w:val="24"/>
          <w:highlight w:val="none"/>
          <w:lang w:eastAsia="zh-CN"/>
        </w:rPr>
        <w:t>万</w:t>
      </w:r>
      <w:r>
        <w:rPr>
          <w:rFonts w:hint="eastAsia" w:ascii="宋体" w:hAnsi="宋体" w:eastAsia="宋体" w:cs="宋体"/>
          <w:bCs/>
          <w:color w:val="auto"/>
          <w:sz w:val="24"/>
          <w:highlight w:val="none"/>
        </w:rPr>
        <w:t>元(其中：利息支出</w:t>
      </w:r>
      <w:r>
        <w:rPr>
          <w:rFonts w:ascii="宋体" w:hAnsi="宋体" w:eastAsia="宋体" w:cs="宋体"/>
          <w:bCs/>
          <w:color w:val="auto"/>
          <w:sz w:val="24"/>
          <w:highlight w:val="none"/>
        </w:rPr>
        <w:t>57</w:t>
      </w:r>
      <w:r>
        <w:rPr>
          <w:rFonts w:hint="eastAsia" w:ascii="宋体" w:hAnsi="宋体" w:eastAsia="宋体" w:cs="宋体"/>
          <w:bCs/>
          <w:color w:val="auto"/>
          <w:sz w:val="24"/>
          <w:highlight w:val="none"/>
          <w:lang w:val="en-US" w:eastAsia="zh-CN"/>
        </w:rPr>
        <w:t>.</w:t>
      </w:r>
      <w:r>
        <w:rPr>
          <w:rFonts w:ascii="宋体" w:hAnsi="宋体" w:eastAsia="宋体" w:cs="宋体"/>
          <w:bCs/>
          <w:color w:val="auto"/>
          <w:sz w:val="24"/>
          <w:highlight w:val="none"/>
        </w:rPr>
        <w:t>4</w:t>
      </w:r>
      <w:r>
        <w:rPr>
          <w:rFonts w:hint="eastAsia" w:ascii="宋体" w:hAnsi="宋体" w:eastAsia="宋体" w:cs="宋体"/>
          <w:bCs/>
          <w:color w:val="auto"/>
          <w:sz w:val="24"/>
          <w:highlight w:val="none"/>
          <w:lang w:val="en-US" w:eastAsia="zh-CN"/>
        </w:rPr>
        <w:t>6</w:t>
      </w:r>
      <w:r>
        <w:rPr>
          <w:rFonts w:hint="eastAsia" w:ascii="宋体" w:hAnsi="宋体" w:eastAsia="宋体" w:cs="宋体"/>
          <w:color w:val="auto"/>
          <w:sz w:val="24"/>
          <w:highlight w:val="none"/>
          <w:lang w:eastAsia="zh-CN"/>
        </w:rPr>
        <w:t>万</w:t>
      </w:r>
      <w:r>
        <w:rPr>
          <w:rFonts w:hint="eastAsia" w:ascii="宋体" w:hAnsi="宋体" w:eastAsia="宋体" w:cs="宋体"/>
          <w:bCs/>
          <w:color w:val="auto"/>
          <w:sz w:val="24"/>
          <w:highlight w:val="none"/>
        </w:rPr>
        <w:t>元</w:t>
      </w:r>
      <w:r>
        <w:rPr>
          <w:rFonts w:ascii="宋体" w:hAnsi="宋体" w:eastAsia="宋体" w:cs="宋体"/>
          <w:bCs/>
          <w:color w:val="auto"/>
          <w:sz w:val="24"/>
          <w:highlight w:val="none"/>
        </w:rPr>
        <w:t>)</w:t>
      </w:r>
      <w:r>
        <w:rPr>
          <w:rFonts w:hint="eastAsia" w:ascii="宋体" w:hAnsi="宋体" w:eastAsia="宋体" w:cs="宋体"/>
          <w:bCs/>
          <w:color w:val="auto"/>
          <w:sz w:val="24"/>
          <w:highlight w:val="none"/>
        </w:rPr>
        <w:t>增长</w:t>
      </w:r>
      <w:r>
        <w:rPr>
          <w:rFonts w:ascii="宋体" w:hAnsi="宋体" w:eastAsia="宋体" w:cs="宋体"/>
          <w:bCs/>
          <w:color w:val="auto"/>
          <w:sz w:val="24"/>
          <w:highlight w:val="none"/>
        </w:rPr>
        <w:t>1265.75</w:t>
      </w:r>
      <w:r>
        <w:rPr>
          <w:rFonts w:hint="eastAsia" w:ascii="宋体" w:hAnsi="宋体" w:eastAsia="宋体" w:cs="宋体"/>
          <w:bCs/>
          <w:color w:val="auto"/>
          <w:sz w:val="24"/>
          <w:highlight w:val="none"/>
        </w:rPr>
        <w:t>%，主要原因系公司以前年度自有营运资金充足，无借款。本期对外投资支付的现金、回购社会流通股及限制性股票支付的现金、分配红利支付的现金增加，以致公司营运资金不足，不足部份向银行申请流动资金借款。其中：分配2017年度红利1.9亿、购买大自然股权支付</w:t>
      </w:r>
      <w:r>
        <w:rPr>
          <w:rFonts w:hint="eastAsia" w:ascii="宋体" w:hAnsi="宋体" w:eastAsia="宋体" w:cs="宋体"/>
          <w:bCs/>
          <w:color w:val="auto"/>
          <w:sz w:val="24"/>
          <w:highlight w:val="none"/>
          <w:lang w:val="en-US" w:eastAsia="zh-CN"/>
        </w:rPr>
        <w:t>3.63亿</w:t>
      </w:r>
      <w:r>
        <w:rPr>
          <w:rFonts w:hint="eastAsia" w:ascii="宋体" w:hAnsi="宋体" w:eastAsia="宋体" w:cs="宋体"/>
          <w:bCs/>
          <w:color w:val="auto"/>
          <w:sz w:val="24"/>
          <w:highlight w:val="none"/>
        </w:rPr>
        <w:t>元、产业基金对外投资</w:t>
      </w:r>
      <w:r>
        <w:rPr>
          <w:rFonts w:hint="eastAsia" w:ascii="宋体" w:hAnsi="宋体" w:eastAsia="宋体" w:cs="宋体"/>
          <w:bCs/>
          <w:color w:val="auto"/>
          <w:sz w:val="24"/>
          <w:highlight w:val="none"/>
          <w:lang w:val="en-US" w:eastAsia="zh-CN"/>
        </w:rPr>
        <w:t>0.93亿</w:t>
      </w:r>
      <w:r>
        <w:rPr>
          <w:rFonts w:hint="eastAsia" w:ascii="宋体" w:hAnsi="宋体" w:eastAsia="宋体" w:cs="宋体"/>
          <w:bCs/>
          <w:color w:val="auto"/>
          <w:sz w:val="24"/>
          <w:highlight w:val="none"/>
        </w:rPr>
        <w:t>元和投资浙江隐竹旅游开发有限公司</w:t>
      </w:r>
      <w:r>
        <w:rPr>
          <w:rFonts w:hint="eastAsia" w:ascii="宋体" w:hAnsi="宋体" w:eastAsia="宋体" w:cs="宋体"/>
          <w:bCs/>
          <w:color w:val="auto"/>
          <w:sz w:val="24"/>
          <w:highlight w:val="none"/>
          <w:lang w:val="en-US" w:eastAsia="zh-CN"/>
        </w:rPr>
        <w:t>0.21亿</w:t>
      </w:r>
      <w:r>
        <w:rPr>
          <w:rFonts w:hint="eastAsia" w:ascii="宋体" w:hAnsi="宋体" w:eastAsia="宋体" w:cs="宋体"/>
          <w:bCs/>
          <w:color w:val="auto"/>
          <w:sz w:val="24"/>
          <w:highlight w:val="none"/>
        </w:rPr>
        <w:t>元等，本期收购浙江德升木业有限公司少数股东股权出资</w:t>
      </w:r>
      <w:r>
        <w:rPr>
          <w:rFonts w:hint="eastAsia" w:ascii="宋体" w:hAnsi="宋体" w:eastAsia="宋体" w:cs="宋体"/>
          <w:bCs/>
          <w:color w:val="auto"/>
          <w:sz w:val="24"/>
          <w:highlight w:val="none"/>
          <w:lang w:val="en-US" w:eastAsia="zh-CN"/>
        </w:rPr>
        <w:t>0.44亿</w:t>
      </w:r>
      <w:r>
        <w:rPr>
          <w:rFonts w:hint="eastAsia" w:ascii="宋体" w:hAnsi="宋体" w:eastAsia="宋体" w:cs="宋体"/>
          <w:bCs/>
          <w:color w:val="auto"/>
          <w:sz w:val="24"/>
          <w:highlight w:val="none"/>
        </w:rPr>
        <w:t>元，回购社会公众股出资</w:t>
      </w:r>
      <w:r>
        <w:rPr>
          <w:rFonts w:hint="eastAsia" w:ascii="宋体" w:hAnsi="宋体" w:eastAsia="宋体" w:cs="宋体"/>
          <w:bCs/>
          <w:color w:val="auto"/>
          <w:sz w:val="24"/>
          <w:highlight w:val="none"/>
          <w:lang w:val="en-US" w:eastAsia="zh-CN"/>
        </w:rPr>
        <w:t>4.27亿</w:t>
      </w:r>
      <w:bookmarkStart w:id="14" w:name="_GoBack"/>
      <w:bookmarkEnd w:id="14"/>
      <w:r>
        <w:rPr>
          <w:rFonts w:hint="eastAsia" w:ascii="宋体" w:hAnsi="宋体" w:eastAsia="宋体" w:cs="宋体"/>
          <w:bCs/>
          <w:color w:val="auto"/>
          <w:sz w:val="24"/>
          <w:highlight w:val="none"/>
        </w:rPr>
        <w:t>元，回购限制性股票出资</w:t>
      </w:r>
      <w:r>
        <w:rPr>
          <w:rFonts w:hint="eastAsia" w:ascii="宋体" w:hAnsi="宋体" w:eastAsia="宋体" w:cs="宋体"/>
          <w:bCs/>
          <w:color w:val="auto"/>
          <w:sz w:val="24"/>
          <w:highlight w:val="none"/>
          <w:lang w:val="en-US" w:eastAsia="zh-CN"/>
        </w:rPr>
        <w:t>1.46亿</w:t>
      </w:r>
      <w:r>
        <w:rPr>
          <w:rFonts w:hint="eastAsia" w:ascii="宋体" w:hAnsi="宋体" w:eastAsia="宋体" w:cs="宋体"/>
          <w:bCs/>
          <w:color w:val="auto"/>
          <w:sz w:val="24"/>
          <w:highlight w:val="none"/>
        </w:rPr>
        <w:t>元，合计12.84</w:t>
      </w:r>
      <w:r>
        <w:rPr>
          <w:rFonts w:hint="eastAsia" w:ascii="宋体" w:hAnsi="宋体" w:eastAsia="宋体" w:cs="宋体"/>
          <w:bCs/>
          <w:color w:val="auto"/>
          <w:sz w:val="24"/>
          <w:highlight w:val="none"/>
          <w:lang w:val="en-US" w:eastAsia="zh-CN"/>
        </w:rPr>
        <w:t>亿</w:t>
      </w:r>
      <w:r>
        <w:rPr>
          <w:rFonts w:hint="eastAsia" w:ascii="宋体" w:hAnsi="宋体" w:eastAsia="宋体" w:cs="宋体"/>
          <w:bCs/>
          <w:color w:val="auto"/>
          <w:sz w:val="24"/>
          <w:highlight w:val="none"/>
        </w:rPr>
        <w:t>元。</w:t>
      </w:r>
    </w:p>
    <w:p>
      <w:pPr>
        <w:spacing w:line="360" w:lineRule="auto"/>
        <w:ind w:firstLine="360" w:firstLineChars="150"/>
        <w:outlineLvl w:val="0"/>
        <w:rPr>
          <w:rFonts w:ascii="宋体" w:hAnsi="宋体" w:eastAsia="宋体" w:cs="宋体"/>
          <w:bCs/>
          <w:color w:val="auto"/>
          <w:sz w:val="24"/>
          <w:highlight w:val="none"/>
        </w:rPr>
      </w:pPr>
      <w:r>
        <w:rPr>
          <w:rFonts w:hint="eastAsia" w:ascii="宋体" w:hAnsi="宋体" w:eastAsia="宋体" w:cs="宋体"/>
          <w:bCs/>
          <w:color w:val="auto"/>
          <w:sz w:val="24"/>
          <w:highlight w:val="none"/>
        </w:rPr>
        <w:t>（二）短期借款和财务费用大幅增加对公司生产经营、运营资金的影响</w:t>
      </w:r>
    </w:p>
    <w:p>
      <w:pPr>
        <w:pStyle w:val="12"/>
        <w:spacing w:line="360" w:lineRule="auto"/>
        <w:ind w:firstLine="480"/>
        <w:outlineLvl w:val="0"/>
        <w:rPr>
          <w:rFonts w:ascii="宋体" w:hAnsi="宋体" w:eastAsia="宋体" w:cs="宋体"/>
          <w:bCs/>
          <w:color w:val="auto"/>
          <w:sz w:val="24"/>
          <w:highlight w:val="none"/>
        </w:rPr>
      </w:pPr>
      <w:r>
        <w:rPr>
          <w:rFonts w:hint="eastAsia" w:ascii="宋体" w:hAnsi="宋体" w:eastAsia="宋体" w:cs="宋体"/>
          <w:bCs/>
          <w:color w:val="auto"/>
          <w:sz w:val="24"/>
          <w:highlight w:val="none"/>
        </w:rPr>
        <w:t>201</w:t>
      </w:r>
      <w:r>
        <w:rPr>
          <w:rFonts w:ascii="宋体" w:hAnsi="宋体" w:eastAsia="宋体" w:cs="宋体"/>
          <w:bCs/>
          <w:color w:val="auto"/>
          <w:sz w:val="24"/>
          <w:highlight w:val="none"/>
        </w:rPr>
        <w:t>8</w:t>
      </w:r>
      <w:r>
        <w:rPr>
          <w:rFonts w:hint="eastAsia" w:ascii="宋体" w:hAnsi="宋体" w:eastAsia="宋体" w:cs="宋体"/>
          <w:bCs/>
          <w:color w:val="auto"/>
          <w:sz w:val="24"/>
          <w:highlight w:val="none"/>
        </w:rPr>
        <w:t>年公司营业收入为</w:t>
      </w:r>
      <w:r>
        <w:rPr>
          <w:rFonts w:ascii="宋体" w:hAnsi="宋体" w:eastAsia="宋体" w:cs="宋体"/>
          <w:bCs/>
          <w:color w:val="auto"/>
          <w:sz w:val="24"/>
          <w:highlight w:val="none"/>
        </w:rPr>
        <w:t>43</w:t>
      </w:r>
      <w:r>
        <w:rPr>
          <w:rFonts w:hint="eastAsia" w:ascii="宋体" w:hAnsi="宋体" w:eastAsia="宋体" w:cs="宋体"/>
          <w:bCs/>
          <w:color w:val="auto"/>
          <w:sz w:val="24"/>
          <w:highlight w:val="none"/>
          <w:lang w:val="en-US" w:eastAsia="zh-CN"/>
        </w:rPr>
        <w:t>.</w:t>
      </w:r>
      <w:r>
        <w:rPr>
          <w:rFonts w:ascii="宋体" w:hAnsi="宋体" w:eastAsia="宋体" w:cs="宋体"/>
          <w:bCs/>
          <w:color w:val="auto"/>
          <w:sz w:val="24"/>
          <w:highlight w:val="none"/>
        </w:rPr>
        <w:t>06</w:t>
      </w:r>
      <w:r>
        <w:rPr>
          <w:rFonts w:hint="eastAsia" w:ascii="宋体" w:hAnsi="宋体" w:eastAsia="宋体" w:cs="宋体"/>
          <w:bCs/>
          <w:color w:val="auto"/>
          <w:sz w:val="24"/>
          <w:highlight w:val="none"/>
          <w:lang w:eastAsia="zh-CN"/>
        </w:rPr>
        <w:t>亿</w:t>
      </w:r>
      <w:r>
        <w:rPr>
          <w:rFonts w:hint="eastAsia" w:ascii="宋体" w:hAnsi="宋体" w:eastAsia="宋体" w:cs="宋体"/>
          <w:bCs/>
          <w:color w:val="auto"/>
          <w:sz w:val="24"/>
          <w:highlight w:val="none"/>
        </w:rPr>
        <w:t>元，经营活动产生的现金流量净额为</w:t>
      </w:r>
      <w:r>
        <w:rPr>
          <w:rFonts w:ascii="宋体" w:hAnsi="宋体" w:eastAsia="宋体" w:cs="宋体"/>
          <w:bCs/>
          <w:color w:val="auto"/>
          <w:sz w:val="24"/>
          <w:highlight w:val="none"/>
        </w:rPr>
        <w:t>3</w:t>
      </w:r>
      <w:r>
        <w:rPr>
          <w:rFonts w:hint="eastAsia" w:ascii="宋体" w:hAnsi="宋体" w:eastAsia="宋体" w:cs="宋体"/>
          <w:bCs/>
          <w:color w:val="auto"/>
          <w:sz w:val="24"/>
          <w:highlight w:val="none"/>
          <w:lang w:val="en-US" w:eastAsia="zh-CN"/>
        </w:rPr>
        <w:t>.</w:t>
      </w:r>
      <w:r>
        <w:rPr>
          <w:rFonts w:ascii="宋体" w:hAnsi="宋体" w:eastAsia="宋体" w:cs="宋体"/>
          <w:bCs/>
          <w:color w:val="auto"/>
          <w:sz w:val="24"/>
          <w:highlight w:val="none"/>
        </w:rPr>
        <w:t>01</w:t>
      </w:r>
      <w:r>
        <w:rPr>
          <w:rFonts w:hint="eastAsia" w:ascii="宋体" w:hAnsi="宋体" w:eastAsia="宋体" w:cs="宋体"/>
          <w:bCs/>
          <w:color w:val="auto"/>
          <w:sz w:val="24"/>
          <w:highlight w:val="none"/>
          <w:lang w:eastAsia="zh-CN"/>
        </w:rPr>
        <w:t>亿</w:t>
      </w:r>
      <w:r>
        <w:rPr>
          <w:rFonts w:hint="eastAsia" w:ascii="宋体" w:hAnsi="宋体" w:eastAsia="宋体" w:cs="宋体"/>
          <w:bCs/>
          <w:color w:val="auto"/>
          <w:sz w:val="24"/>
          <w:highlight w:val="none"/>
        </w:rPr>
        <w:t>元。公司营业收入和经营活动产生的现金流量净额较大，为公司提供了稳定的现金流，确保公司正常生产经营所需运营资金，为公司偿付各项债务提供了保障。</w:t>
      </w:r>
    </w:p>
    <w:p>
      <w:pPr>
        <w:pStyle w:val="12"/>
        <w:spacing w:line="360" w:lineRule="auto"/>
        <w:ind w:firstLine="0" w:firstLineChars="0"/>
        <w:outlineLvl w:val="0"/>
        <w:rPr>
          <w:rFonts w:ascii="宋体" w:hAnsi="宋体" w:eastAsia="宋体" w:cs="宋体"/>
          <w:bCs/>
          <w:color w:val="auto"/>
          <w:sz w:val="24"/>
          <w:highlight w:val="none"/>
        </w:rPr>
      </w:pPr>
      <w:r>
        <w:rPr>
          <w:rFonts w:hint="eastAsia" w:ascii="宋体" w:hAnsi="宋体" w:eastAsia="宋体" w:cs="宋体"/>
          <w:bCs/>
          <w:color w:val="auto"/>
          <w:sz w:val="24"/>
          <w:highlight w:val="none"/>
        </w:rPr>
        <w:t xml:space="preserve"> </w:t>
      </w:r>
      <w:r>
        <w:rPr>
          <w:rFonts w:ascii="宋体" w:hAnsi="宋体" w:eastAsia="宋体" w:cs="宋体"/>
          <w:bCs/>
          <w:color w:val="auto"/>
          <w:sz w:val="24"/>
          <w:highlight w:val="none"/>
        </w:rPr>
        <w:t xml:space="preserve">   2018</w:t>
      </w:r>
      <w:r>
        <w:rPr>
          <w:rFonts w:hint="eastAsia" w:ascii="宋体" w:hAnsi="宋体" w:eastAsia="宋体" w:cs="宋体"/>
          <w:bCs/>
          <w:color w:val="auto"/>
          <w:sz w:val="24"/>
          <w:highlight w:val="none"/>
        </w:rPr>
        <w:t>年公司EBITDA为</w:t>
      </w:r>
      <w:r>
        <w:rPr>
          <w:rFonts w:ascii="宋体" w:hAnsi="宋体" w:eastAsia="宋体" w:cs="宋体"/>
          <w:bCs/>
          <w:color w:val="auto"/>
          <w:sz w:val="24"/>
          <w:highlight w:val="none"/>
        </w:rPr>
        <w:t>4</w:t>
      </w:r>
      <w:r>
        <w:rPr>
          <w:rFonts w:hint="eastAsia" w:ascii="宋体" w:hAnsi="宋体" w:eastAsia="宋体" w:cs="宋体"/>
          <w:bCs/>
          <w:color w:val="auto"/>
          <w:sz w:val="24"/>
          <w:highlight w:val="none"/>
          <w:lang w:val="en-US" w:eastAsia="zh-CN"/>
        </w:rPr>
        <w:t>.</w:t>
      </w:r>
      <w:r>
        <w:rPr>
          <w:rFonts w:ascii="宋体" w:hAnsi="宋体" w:eastAsia="宋体" w:cs="宋体"/>
          <w:bCs/>
          <w:color w:val="auto"/>
          <w:sz w:val="24"/>
          <w:highlight w:val="none"/>
        </w:rPr>
        <w:t>60</w:t>
      </w:r>
      <w:r>
        <w:rPr>
          <w:rFonts w:hint="eastAsia" w:ascii="宋体" w:hAnsi="宋体" w:eastAsia="宋体" w:cs="宋体"/>
          <w:bCs/>
          <w:color w:val="auto"/>
          <w:sz w:val="24"/>
          <w:highlight w:val="none"/>
          <w:lang w:eastAsia="zh-CN"/>
        </w:rPr>
        <w:t>亿</w:t>
      </w:r>
      <w:r>
        <w:rPr>
          <w:rFonts w:hint="eastAsia" w:ascii="宋体" w:hAnsi="宋体" w:eastAsia="宋体" w:cs="宋体"/>
          <w:bCs/>
          <w:color w:val="auto"/>
          <w:sz w:val="24"/>
          <w:highlight w:val="none"/>
        </w:rPr>
        <w:t>元，公司EBITDA利息保障倍数为</w:t>
      </w:r>
      <w:r>
        <w:rPr>
          <w:rFonts w:ascii="宋体" w:hAnsi="宋体" w:eastAsia="宋体" w:cs="宋体"/>
          <w:bCs/>
          <w:color w:val="auto"/>
          <w:sz w:val="24"/>
          <w:highlight w:val="none"/>
        </w:rPr>
        <w:t>17.78</w:t>
      </w:r>
      <w:r>
        <w:rPr>
          <w:rFonts w:hint="eastAsia" w:ascii="宋体" w:hAnsi="宋体" w:eastAsia="宋体" w:cs="宋体"/>
          <w:bCs/>
          <w:color w:val="auto"/>
          <w:sz w:val="24"/>
          <w:highlight w:val="none"/>
        </w:rPr>
        <w:t>倍，对利息的保障程度较好。</w:t>
      </w:r>
    </w:p>
    <w:p>
      <w:pPr>
        <w:pStyle w:val="12"/>
        <w:spacing w:line="360" w:lineRule="auto"/>
        <w:ind w:firstLine="480"/>
        <w:outlineLvl w:val="0"/>
        <w:rPr>
          <w:rFonts w:ascii="宋体" w:hAnsi="宋体" w:eastAsia="宋体" w:cs="宋体"/>
          <w:bCs/>
          <w:color w:val="auto"/>
          <w:sz w:val="24"/>
          <w:highlight w:val="none"/>
        </w:rPr>
      </w:pPr>
      <w:r>
        <w:rPr>
          <w:rFonts w:hint="eastAsia" w:ascii="宋体" w:hAnsi="宋体" w:eastAsia="宋体" w:cs="宋体"/>
          <w:bCs/>
          <w:color w:val="auto"/>
          <w:sz w:val="24"/>
          <w:highlight w:val="none"/>
        </w:rPr>
        <w:t>2</w:t>
      </w:r>
      <w:r>
        <w:rPr>
          <w:rFonts w:ascii="宋体" w:hAnsi="宋体" w:eastAsia="宋体" w:cs="宋体"/>
          <w:bCs/>
          <w:color w:val="auto"/>
          <w:sz w:val="24"/>
          <w:highlight w:val="none"/>
        </w:rPr>
        <w:t>018</w:t>
      </w:r>
      <w:r>
        <w:rPr>
          <w:rFonts w:hint="eastAsia" w:ascii="宋体" w:hAnsi="宋体" w:eastAsia="宋体" w:cs="宋体"/>
          <w:bCs/>
          <w:color w:val="auto"/>
          <w:sz w:val="24"/>
          <w:highlight w:val="none"/>
        </w:rPr>
        <w:t>年公司无逾期还贷款，公司与银行保持良好的合作关系，借款融资渠道畅通，为公司提供了良好的外部资金来源。</w:t>
      </w:r>
    </w:p>
    <w:p>
      <w:pPr>
        <w:pStyle w:val="12"/>
        <w:spacing w:line="360" w:lineRule="auto"/>
        <w:ind w:firstLine="480"/>
        <w:outlineLvl w:val="0"/>
        <w:rPr>
          <w:rFonts w:ascii="宋体" w:hAnsi="宋体" w:eastAsia="宋体" w:cs="宋体"/>
          <w:bCs/>
          <w:color w:val="auto"/>
          <w:sz w:val="24"/>
          <w:highlight w:val="none"/>
        </w:rPr>
      </w:pPr>
      <w:r>
        <w:rPr>
          <w:rFonts w:hint="eastAsia" w:ascii="宋体" w:hAnsi="宋体" w:eastAsia="宋体" w:cs="宋体"/>
          <w:bCs/>
          <w:color w:val="auto"/>
          <w:sz w:val="24"/>
          <w:highlight w:val="none"/>
        </w:rPr>
        <w:t>综上，公司偿债能力良好，融资渠道畅通，公司短期借款和财务费用大幅增加不会影响公司正常生产经营及运营资金需求。</w:t>
      </w:r>
    </w:p>
    <w:p>
      <w:pPr>
        <w:rPr>
          <w:rFonts w:ascii="宋体" w:hAnsi="宋体" w:eastAsia="宋体" w:cs="宋体"/>
          <w:color w:val="auto"/>
          <w:sz w:val="24"/>
          <w:highlight w:val="none"/>
        </w:rPr>
      </w:pPr>
    </w:p>
    <w:p>
      <w:pPr>
        <w:rPr>
          <w:rFonts w:ascii="宋体" w:hAnsi="宋体" w:eastAsia="宋体" w:cs="宋体"/>
          <w:color w:val="auto"/>
          <w:sz w:val="24"/>
          <w:highlight w:val="none"/>
        </w:rPr>
      </w:pPr>
    </w:p>
    <w:p>
      <w:pPr>
        <w:rPr>
          <w:rFonts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德华兔宝宝装饰新材股份有限公司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董 事 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2019年4月</w:t>
      </w:r>
      <w:r>
        <w:rPr>
          <w:rFonts w:hint="eastAsia" w:ascii="宋体" w:hAnsi="宋体" w:eastAsia="宋体" w:cs="宋体"/>
          <w:color w:val="auto"/>
          <w:sz w:val="24"/>
          <w:highlight w:val="none"/>
          <w:lang w:val="en-US" w:eastAsia="zh-CN"/>
        </w:rPr>
        <w:t>24</w:t>
      </w:r>
      <w:r>
        <w:rPr>
          <w:rFonts w:hint="eastAsia" w:ascii="宋体" w:hAnsi="宋体" w:eastAsia="宋体" w:cs="宋体"/>
          <w:color w:val="auto"/>
          <w:sz w:val="24"/>
          <w:highlight w:val="none"/>
        </w:rPr>
        <w:t>日</w:t>
      </w:r>
    </w:p>
    <w:p>
      <w:pPr>
        <w:rPr>
          <w:color w:val="auto"/>
          <w:sz w:val="24"/>
        </w:rPr>
      </w:pPr>
    </w:p>
    <w:sectPr>
      <w:pgSz w:w="11906" w:h="16838"/>
      <w:pgMar w:top="1440" w:right="1179" w:bottom="144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4FCE7E"/>
    <w:multiLevelType w:val="singleLevel"/>
    <w:tmpl w:val="F84FCE7E"/>
    <w:lvl w:ilvl="0" w:tentative="0">
      <w:start w:val="2"/>
      <w:numFmt w:val="decimal"/>
      <w:suff w:val="nothing"/>
      <w:lvlText w:val="（%1）"/>
      <w:lvlJc w:val="left"/>
    </w:lvl>
  </w:abstractNum>
  <w:abstractNum w:abstractNumId="1">
    <w:nsid w:val="FF38FDD0"/>
    <w:multiLevelType w:val="multilevel"/>
    <w:tmpl w:val="FF38FDD0"/>
    <w:lvl w:ilvl="0" w:tentative="0">
      <w:start w:val="5"/>
      <w:numFmt w:val="decimal"/>
      <w:suff w:val="nothing"/>
      <w:lvlText w:val="%1、"/>
      <w:lvlJc w:val="left"/>
    </w:lvl>
    <w:lvl w:ilvl="1" w:tentative="0">
      <w:start w:val="1"/>
      <w:numFmt w:val="japaneseCounting"/>
      <w:lvlText w:val="(%2)"/>
      <w:lvlJc w:val="left"/>
      <w:pPr>
        <w:ind w:left="1287" w:hanging="720"/>
      </w:pPr>
      <w:rPr>
        <w:rFonts w:hint="default"/>
      </w:r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4F8EFE36"/>
    <w:multiLevelType w:val="singleLevel"/>
    <w:tmpl w:val="4F8EFE36"/>
    <w:lvl w:ilvl="0" w:tentative="0">
      <w:start w:val="1"/>
      <w:numFmt w:val="decimal"/>
      <w:suff w:val="nothing"/>
      <w:lvlText w:val="%1、"/>
      <w:lvlJc w:val="left"/>
    </w:lvl>
  </w:abstractNum>
  <w:abstractNum w:abstractNumId="3">
    <w:nsid w:val="586202B9"/>
    <w:multiLevelType w:val="singleLevel"/>
    <w:tmpl w:val="586202B9"/>
    <w:lvl w:ilvl="0" w:tentative="0">
      <w:start w:val="2"/>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45669"/>
    <w:rsid w:val="00085324"/>
    <w:rsid w:val="00192553"/>
    <w:rsid w:val="001B5C7D"/>
    <w:rsid w:val="001B650C"/>
    <w:rsid w:val="001F75E5"/>
    <w:rsid w:val="00241D3B"/>
    <w:rsid w:val="002648A9"/>
    <w:rsid w:val="002B5E11"/>
    <w:rsid w:val="002D4DE9"/>
    <w:rsid w:val="002E032D"/>
    <w:rsid w:val="003051A4"/>
    <w:rsid w:val="003502D3"/>
    <w:rsid w:val="003612E0"/>
    <w:rsid w:val="00397A9B"/>
    <w:rsid w:val="003D20C4"/>
    <w:rsid w:val="003D434D"/>
    <w:rsid w:val="003E5C16"/>
    <w:rsid w:val="004140B5"/>
    <w:rsid w:val="00447A00"/>
    <w:rsid w:val="004716FE"/>
    <w:rsid w:val="004B0F19"/>
    <w:rsid w:val="004D1BE0"/>
    <w:rsid w:val="00547D0B"/>
    <w:rsid w:val="005C30F6"/>
    <w:rsid w:val="005E2CB2"/>
    <w:rsid w:val="005E7F1B"/>
    <w:rsid w:val="0070343B"/>
    <w:rsid w:val="0075081C"/>
    <w:rsid w:val="0078624F"/>
    <w:rsid w:val="007D057F"/>
    <w:rsid w:val="008218AE"/>
    <w:rsid w:val="00881182"/>
    <w:rsid w:val="008C4E2C"/>
    <w:rsid w:val="008D63ED"/>
    <w:rsid w:val="008E64FB"/>
    <w:rsid w:val="00985A57"/>
    <w:rsid w:val="009C2C3A"/>
    <w:rsid w:val="00A01F76"/>
    <w:rsid w:val="00A150F2"/>
    <w:rsid w:val="00A568E9"/>
    <w:rsid w:val="00AA7857"/>
    <w:rsid w:val="00AB102F"/>
    <w:rsid w:val="00AC5E70"/>
    <w:rsid w:val="00AD5FF8"/>
    <w:rsid w:val="00B43986"/>
    <w:rsid w:val="00B7184C"/>
    <w:rsid w:val="00B826F3"/>
    <w:rsid w:val="00BC3244"/>
    <w:rsid w:val="00C5738B"/>
    <w:rsid w:val="00C6706D"/>
    <w:rsid w:val="00C84013"/>
    <w:rsid w:val="00CF5890"/>
    <w:rsid w:val="00D03271"/>
    <w:rsid w:val="00D1187A"/>
    <w:rsid w:val="00D3151E"/>
    <w:rsid w:val="00DC1084"/>
    <w:rsid w:val="00E06313"/>
    <w:rsid w:val="00E21383"/>
    <w:rsid w:val="00EB7EE0"/>
    <w:rsid w:val="00F50AA1"/>
    <w:rsid w:val="00F72AC7"/>
    <w:rsid w:val="00F877B7"/>
    <w:rsid w:val="00F96377"/>
    <w:rsid w:val="00FA4278"/>
    <w:rsid w:val="00FC318D"/>
    <w:rsid w:val="00FD5C5B"/>
    <w:rsid w:val="03246787"/>
    <w:rsid w:val="06674FA0"/>
    <w:rsid w:val="07CA0935"/>
    <w:rsid w:val="08DB51F2"/>
    <w:rsid w:val="094C4ACD"/>
    <w:rsid w:val="09E03E4B"/>
    <w:rsid w:val="0A082BC9"/>
    <w:rsid w:val="0BDE7523"/>
    <w:rsid w:val="0CCB7DE9"/>
    <w:rsid w:val="0CCF001B"/>
    <w:rsid w:val="0DA076D2"/>
    <w:rsid w:val="0E0643BD"/>
    <w:rsid w:val="0E5923AF"/>
    <w:rsid w:val="0EE76F34"/>
    <w:rsid w:val="0FD55D96"/>
    <w:rsid w:val="125E0542"/>
    <w:rsid w:val="18F17345"/>
    <w:rsid w:val="1A4E13A4"/>
    <w:rsid w:val="1ADA424F"/>
    <w:rsid w:val="1B702C57"/>
    <w:rsid w:val="1DED45E0"/>
    <w:rsid w:val="1E120A37"/>
    <w:rsid w:val="1FE34AD9"/>
    <w:rsid w:val="2046481D"/>
    <w:rsid w:val="219A49FF"/>
    <w:rsid w:val="23A375DC"/>
    <w:rsid w:val="23BE53A9"/>
    <w:rsid w:val="243F6CAC"/>
    <w:rsid w:val="24835F1D"/>
    <w:rsid w:val="251D294F"/>
    <w:rsid w:val="268C7C66"/>
    <w:rsid w:val="29D3264A"/>
    <w:rsid w:val="2C23679D"/>
    <w:rsid w:val="2EAC5461"/>
    <w:rsid w:val="316A21D6"/>
    <w:rsid w:val="321E75DF"/>
    <w:rsid w:val="339B2BBD"/>
    <w:rsid w:val="34BC52D1"/>
    <w:rsid w:val="34C12F50"/>
    <w:rsid w:val="37896DF0"/>
    <w:rsid w:val="37977D0F"/>
    <w:rsid w:val="37BB144C"/>
    <w:rsid w:val="3AFD7F9C"/>
    <w:rsid w:val="3CEB7CC0"/>
    <w:rsid w:val="3DE14203"/>
    <w:rsid w:val="3DEF7A4D"/>
    <w:rsid w:val="3E341DE8"/>
    <w:rsid w:val="3ECA5C93"/>
    <w:rsid w:val="3EF20E97"/>
    <w:rsid w:val="40E8137F"/>
    <w:rsid w:val="425D43E9"/>
    <w:rsid w:val="42BC3654"/>
    <w:rsid w:val="4313577F"/>
    <w:rsid w:val="45674D04"/>
    <w:rsid w:val="47B87F64"/>
    <w:rsid w:val="48576A6A"/>
    <w:rsid w:val="48AB2DC7"/>
    <w:rsid w:val="48F045D1"/>
    <w:rsid w:val="4941798C"/>
    <w:rsid w:val="4950609F"/>
    <w:rsid w:val="498C3D11"/>
    <w:rsid w:val="49E4089E"/>
    <w:rsid w:val="49F51E82"/>
    <w:rsid w:val="4D645669"/>
    <w:rsid w:val="4E8D2C21"/>
    <w:rsid w:val="54BA1FA2"/>
    <w:rsid w:val="555B5F24"/>
    <w:rsid w:val="56A00317"/>
    <w:rsid w:val="5AB96ECA"/>
    <w:rsid w:val="5B2522BC"/>
    <w:rsid w:val="5D252D7F"/>
    <w:rsid w:val="5D2914D8"/>
    <w:rsid w:val="640E1AB1"/>
    <w:rsid w:val="64683685"/>
    <w:rsid w:val="66244293"/>
    <w:rsid w:val="67AD0149"/>
    <w:rsid w:val="691F3E3E"/>
    <w:rsid w:val="69693765"/>
    <w:rsid w:val="69B74765"/>
    <w:rsid w:val="6BCC2D4C"/>
    <w:rsid w:val="6C8F3DC3"/>
    <w:rsid w:val="6CB06F7B"/>
    <w:rsid w:val="6CC14A33"/>
    <w:rsid w:val="6CEF33DA"/>
    <w:rsid w:val="70922229"/>
    <w:rsid w:val="76E852C1"/>
    <w:rsid w:val="78EF29CE"/>
    <w:rsid w:val="79465086"/>
    <w:rsid w:val="7C6723DF"/>
    <w:rsid w:val="7D2B4E5F"/>
    <w:rsid w:val="7D7F73B8"/>
    <w:rsid w:val="7DF8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4"/>
    <w:qFormat/>
    <w:uiPriority w:val="99"/>
    <w:pPr>
      <w:adjustRightInd w:val="0"/>
      <w:spacing w:after="120" w:line="300" w:lineRule="auto"/>
      <w:jc w:val="left"/>
      <w:textAlignment w:val="baseline"/>
    </w:pPr>
    <w:rPr>
      <w:rFonts w:ascii="Courier New" w:hAnsi="Courier New" w:eastAsia="宋体" w:cs="Times New Roman"/>
      <w:kern w:val="0"/>
      <w:szCs w:val="20"/>
    </w:r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 w:type="character" w:customStyle="1" w:styleId="13">
    <w:name w:val="纯文本 字符"/>
    <w:basedOn w:val="8"/>
    <w:semiHidden/>
    <w:qFormat/>
    <w:uiPriority w:val="0"/>
    <w:rPr>
      <w:rFonts w:hAnsi="Courier New" w:cs="Courier New" w:asciiTheme="minorEastAsia" w:eastAsiaTheme="minorEastAsia"/>
      <w:kern w:val="2"/>
      <w:sz w:val="21"/>
      <w:szCs w:val="24"/>
    </w:rPr>
  </w:style>
  <w:style w:type="character" w:customStyle="1" w:styleId="14">
    <w:name w:val="纯文本 字符1"/>
    <w:link w:val="2"/>
    <w:qFormat/>
    <w:uiPriority w:val="99"/>
    <w:rPr>
      <w:rFonts w:ascii="Courier New" w:hAnsi="Courier New"/>
      <w:sz w:val="21"/>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09b9a18-7672-4c5e-bc53-d808d6b2e553}"/>
        <w:style w:val=""/>
        <w:category>
          <w:name w:val="常规"/>
          <w:gallery w:val="placeholder"/>
        </w:category>
        <w:types>
          <w:type w:val="bbPlcHdr"/>
        </w:types>
        <w:behaviors>
          <w:behavior w:val="content"/>
        </w:behaviors>
        <w:description w:val=""/>
        <w:guid w:val="{009B9A18-7672-4C5E-BC53-D808D6B2E553}"/>
      </w:docPartPr>
      <w:docPartBody>
        <w:p>
          <w:pPr>
            <w:pStyle w:val="4"/>
          </w:pPr>
          <w:r>
            <w:rPr>
              <w:rStyle w:val="5"/>
              <w:rFonts w:hint="eastAsia"/>
            </w:rPr>
            <w:t>单击此处输入文字。</w:t>
          </w:r>
        </w:p>
      </w:docPartBody>
    </w:docPart>
    <w:docPart>
      <w:docPartPr>
        <w:name w:val="{e39f4bc3-817c-427e-89c7-25c37a90aac2}"/>
        <w:style w:val=""/>
        <w:category>
          <w:name w:val="常规"/>
          <w:gallery w:val="placeholder"/>
        </w:category>
        <w:types>
          <w:type w:val="bbPlcHdr"/>
        </w:types>
        <w:behaviors>
          <w:behavior w:val="content"/>
        </w:behaviors>
        <w:description w:val=""/>
        <w:guid w:val="{E39F4BC3-817C-427E-89C7-25C37A90AAC2}"/>
      </w:docPartPr>
      <w:docPartBody>
        <w:p>
          <w:pPr>
            <w:pStyle w:val="6"/>
          </w:pPr>
          <w:r>
            <w:rPr>
              <w:rStyle w:val="5"/>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B20B52"/>
    <w:rsid w:val="00044A46"/>
    <w:rsid w:val="00952595"/>
    <w:rsid w:val="00AF7C3F"/>
    <w:rsid w:val="00B20B52"/>
    <w:rsid w:val="00CC4323"/>
    <w:rsid w:val="00D060CF"/>
    <w:rsid w:val="00D44075"/>
    <w:rsid w:val="00D75557"/>
    <w:rsid w:val="00DB26A6"/>
    <w:rsid w:val="00E73F3B"/>
    <w:rsid w:val="00E741DC"/>
    <w:rsid w:val="00EC7217"/>
    <w:rsid w:val="00EF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DBA8ECE32E3D4484BE8E4DFC1BDAAFE7"/>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 w:type="paragraph" w:customStyle="1" w:styleId="6">
    <w:name w:val="6C000CF8F8074FBCAA4CB3FE0843AC7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1308</Words>
  <Characters>7460</Characters>
  <Lines>62</Lines>
  <Paragraphs>17</Paragraphs>
  <TotalTime>13</TotalTime>
  <ScaleCrop>false</ScaleCrop>
  <LinksUpToDate>false</LinksUpToDate>
  <CharactersWithSpaces>8751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2019-04-18T03:10:00Z</dcterms:created>
  <dc:creator>白首、不相离</dc:creator>
  <cp:lastModifiedBy>白首、不相离</cp:lastModifiedBy>
  <dcterms:modified xsi:type="dcterms:W3CDTF">2019-04-25T02:31:36Z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