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40" w:lineRule="exact"/>
        <w:jc w:val="left"/>
        <w:rPr>
          <w:rFonts w:hint="eastAsia" w:ascii="宋体" w:hAnsi="宋体"/>
          <w:kern w:val="0"/>
          <w:sz w:val="24"/>
          <w:szCs w:val="20"/>
          <w:highlight w:val="yellow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证券</w:t>
      </w:r>
      <w:r>
        <w:rPr>
          <w:rFonts w:hint="eastAsia" w:ascii="宋体" w:hAnsi="宋体"/>
          <w:kern w:val="0"/>
          <w:sz w:val="24"/>
        </w:rPr>
        <w:t>代码：</w:t>
      </w:r>
      <w:r>
        <w:rPr>
          <w:rFonts w:ascii="宋体" w:hAnsi="宋体"/>
          <w:kern w:val="0"/>
          <w:sz w:val="24"/>
        </w:rPr>
        <w:t>0020</w:t>
      </w:r>
      <w:r>
        <w:rPr>
          <w:rFonts w:hint="eastAsia" w:ascii="宋体" w:hAnsi="宋体"/>
          <w:kern w:val="0"/>
          <w:sz w:val="24"/>
        </w:rPr>
        <w:t>43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</w:rPr>
        <w:t xml:space="preserve">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 证券简称：</w:t>
      </w:r>
      <w:r>
        <w:rPr>
          <w:rFonts w:hint="eastAsia" w:ascii="宋体" w:hAnsi="宋体"/>
          <w:color w:val="000000"/>
          <w:kern w:val="0"/>
          <w:sz w:val="24"/>
          <w:szCs w:val="32"/>
        </w:rPr>
        <w:t>兔宝宝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 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4"/>
        </w:rPr>
        <w:t>公告编号：</w:t>
      </w:r>
      <w:r>
        <w:rPr>
          <w:rFonts w:ascii="宋体" w:hAnsi="宋体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01</w:t>
      </w: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kern w:val="0"/>
          <w:sz w:val="24"/>
          <w:highlight w:val="none"/>
        </w:rPr>
        <w:t>-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0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64</w:t>
      </w:r>
    </w:p>
    <w:p>
      <w:pPr>
        <w:autoSpaceDE w:val="0"/>
        <w:autoSpaceDN w:val="0"/>
        <w:adjustRightInd w:val="0"/>
        <w:spacing w:line="340" w:lineRule="exact"/>
        <w:rPr>
          <w:rFonts w:hint="eastAsia" w:ascii="宋体" w:hAnsi="宋体"/>
          <w:b/>
          <w:bCs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340" w:lineRule="exact"/>
        <w:ind w:firstLine="602" w:firstLineChars="200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2"/>
          <w:lang w:val="en-US" w:eastAsia="zh-CN"/>
        </w:rPr>
        <w:t>德华兔宝宝装饰新材股份有限公司</w:t>
      </w:r>
    </w:p>
    <w:p>
      <w:pPr>
        <w:autoSpaceDE w:val="0"/>
        <w:autoSpaceDN w:val="0"/>
        <w:adjustRightInd w:val="0"/>
        <w:spacing w:line="340" w:lineRule="exact"/>
        <w:ind w:firstLine="602" w:firstLineChars="200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2"/>
          <w:lang w:val="en-US" w:eastAsia="zh-CN"/>
        </w:rPr>
        <w:t>关于更换发行股份购买资产持续督导期间</w:t>
      </w:r>
    </w:p>
    <w:p>
      <w:pPr>
        <w:autoSpaceDE w:val="0"/>
        <w:autoSpaceDN w:val="0"/>
        <w:adjustRightInd w:val="0"/>
        <w:spacing w:line="340" w:lineRule="exact"/>
        <w:ind w:firstLine="602" w:firstLineChars="200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2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color w:val="000000"/>
          <w:kern w:val="0"/>
          <w:sz w:val="30"/>
          <w:szCs w:val="32"/>
          <w:lang w:val="en-US" w:eastAsia="zh-CN"/>
        </w:rPr>
        <w:t>财务顾问</w:t>
      </w:r>
      <w:bookmarkEnd w:id="0"/>
      <w:r>
        <w:rPr>
          <w:rFonts w:hint="eastAsia" w:ascii="宋体" w:hAnsi="宋体"/>
          <w:b/>
          <w:bCs/>
          <w:color w:val="000000"/>
          <w:kern w:val="0"/>
          <w:sz w:val="30"/>
          <w:szCs w:val="32"/>
          <w:lang w:val="en-US" w:eastAsia="zh-CN"/>
        </w:rPr>
        <w:t>主办人的公告</w:t>
      </w:r>
    </w:p>
    <w:p>
      <w:pPr>
        <w:spacing w:line="380" w:lineRule="exact"/>
        <w:ind w:firstLine="480" w:firstLineChars="200"/>
        <w:rPr>
          <w:rFonts w:hint="eastAsia" w:cs="宋体"/>
          <w:sz w:val="24"/>
        </w:rPr>
      </w:pPr>
    </w:p>
    <w:p>
      <w:pPr>
        <w:spacing w:line="380" w:lineRule="exact"/>
        <w:ind w:firstLine="480" w:firstLineChars="200"/>
        <w:rPr>
          <w:sz w:val="24"/>
        </w:rPr>
      </w:pPr>
      <w:r>
        <w:rPr>
          <w:rFonts w:hint="eastAsia" w:cs="宋体"/>
          <w:sz w:val="24"/>
        </w:rPr>
        <w:t>本公司及董事会全体成员保证信息披露内容的真实、准确和完整，没有虚假记载、误导性陈述或重大遗漏。</w:t>
      </w:r>
    </w:p>
    <w:p>
      <w:pPr>
        <w:pStyle w:val="4"/>
        <w:spacing w:line="360" w:lineRule="auto"/>
        <w:rPr>
          <w:rFonts w:hint="eastAsia"/>
        </w:rPr>
      </w:pPr>
    </w:p>
    <w:p>
      <w:pPr>
        <w:pStyle w:val="4"/>
        <w:spacing w:line="360" w:lineRule="auto"/>
        <w:ind w:firstLine="480" w:firstLineChars="200"/>
        <w:rPr>
          <w:rFonts w:hint="eastAsia" w:hAnsi="宋体"/>
        </w:rPr>
      </w:pPr>
      <w:r>
        <w:rPr>
          <w:rFonts w:hint="eastAsia" w:hAnsi="宋体"/>
        </w:rPr>
        <w:t>申万宏源证券承销保荐有限责任公司（以下简称“</w:t>
      </w:r>
      <w:r>
        <w:rPr>
          <w:rFonts w:hint="eastAsia"/>
        </w:rPr>
        <w:t>申万宏源承销保荐公司</w:t>
      </w:r>
      <w:r>
        <w:rPr>
          <w:rFonts w:hint="eastAsia" w:hAnsi="宋体"/>
        </w:rPr>
        <w:t>”）接受德华兔宝宝装饰新材股份有限公司（以下简称“</w:t>
      </w:r>
      <w:r>
        <w:rPr>
          <w:rFonts w:hint="eastAsia"/>
        </w:rPr>
        <w:t>公司</w:t>
      </w:r>
      <w:r>
        <w:rPr>
          <w:rFonts w:hint="eastAsia" w:hAnsi="宋体"/>
        </w:rPr>
        <w:t>”或“本</w:t>
      </w:r>
      <w:r>
        <w:rPr>
          <w:rFonts w:hint="eastAsia"/>
        </w:rPr>
        <w:t>公司</w:t>
      </w:r>
      <w:r>
        <w:rPr>
          <w:rFonts w:hint="eastAsia" w:hAnsi="宋体"/>
        </w:rPr>
        <w:t>”）的委托，担任本公司2015年发行股份购买资产的独立财务顾问,财务顾问主办人为罗捷女士和</w:t>
      </w:r>
      <w:r>
        <w:rPr>
          <w:rFonts w:hint="eastAsia" w:ascii="宋体" w:hAnsi="宋体"/>
          <w:sz w:val="24"/>
          <w:szCs w:val="24"/>
        </w:rPr>
        <w:t>李斯思</w:t>
      </w:r>
      <w:r>
        <w:rPr>
          <w:rFonts w:hint="eastAsia" w:hAnsi="宋体"/>
        </w:rPr>
        <w:t>先生。本公司已于2016年2月完成本次发行股份购买资产,</w:t>
      </w:r>
      <w:r>
        <w:rPr>
          <w:rFonts w:hint="eastAsia" w:ascii="Arial" w:hAnsi="Arial" w:cs="Arial"/>
        </w:rPr>
        <w:t>目前</w:t>
      </w:r>
      <w:r>
        <w:rPr>
          <w:rFonts w:hint="eastAsia" w:hAnsi="宋体"/>
        </w:rPr>
        <w:t>处于持续督导期间。</w:t>
      </w:r>
    </w:p>
    <w:p>
      <w:pPr>
        <w:pStyle w:val="4"/>
        <w:spacing w:line="360" w:lineRule="auto"/>
        <w:ind w:firstLine="480" w:firstLineChars="200"/>
        <w:rPr>
          <w:rFonts w:hAnsi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hint="eastAsia" w:hAnsi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12</w:t>
      </w:r>
      <w:r>
        <w:rPr>
          <w:rFonts w:hint="eastAsia" w:hAnsi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eastAsia" w:hAnsi="Times New Roman"/>
        </w:rPr>
        <w:t>日，公司收到申万宏源承销保荐公司通知，原指定的财务顾问主办人</w:t>
      </w:r>
      <w:r>
        <w:rPr>
          <w:rFonts w:hint="eastAsia" w:ascii="宋体" w:hAnsi="宋体"/>
          <w:sz w:val="24"/>
          <w:szCs w:val="24"/>
        </w:rPr>
        <w:t>李斯思</w:t>
      </w:r>
      <w:r>
        <w:rPr>
          <w:rFonts w:hint="eastAsia" w:hAnsi="Times New Roman"/>
        </w:rPr>
        <w:t>先生因辞职无法继续履行对本公司的持续督导工作，其后续工作由申万宏源承销保荐公司指定的</w:t>
      </w:r>
      <w:r>
        <w:rPr>
          <w:rFonts w:hint="eastAsia" w:ascii="宋体" w:hAnsi="宋体"/>
          <w:sz w:val="24"/>
          <w:szCs w:val="24"/>
        </w:rPr>
        <w:t>范亚灵</w:t>
      </w:r>
      <w:r>
        <w:rPr>
          <w:rFonts w:hint="eastAsia" w:ascii="宋体" w:hAnsi="宋体"/>
          <w:sz w:val="24"/>
          <w:szCs w:val="24"/>
          <w:lang w:val="en-US" w:eastAsia="zh-CN"/>
        </w:rPr>
        <w:t>女士</w:t>
      </w:r>
      <w:r>
        <w:rPr>
          <w:rFonts w:hint="eastAsia" w:hAnsi="Times New Roman"/>
        </w:rPr>
        <w:t>接替</w:t>
      </w:r>
      <w:r>
        <w:rPr>
          <w:rFonts w:hint="eastAsia" w:hAnsi="Times New Roman"/>
          <w:lang w:eastAsia="zh-CN"/>
        </w:rPr>
        <w:t>（</w:t>
      </w:r>
      <w:r>
        <w:rPr>
          <w:rFonts w:hint="eastAsia" w:ascii="宋体" w:hAnsi="宋体"/>
          <w:sz w:val="24"/>
          <w:szCs w:val="24"/>
        </w:rPr>
        <w:t>范亚灵</w:t>
      </w:r>
      <w:r>
        <w:rPr>
          <w:rFonts w:hint="eastAsia" w:ascii="宋体" w:hAnsi="宋体"/>
          <w:sz w:val="24"/>
          <w:szCs w:val="24"/>
          <w:lang w:val="en-US" w:eastAsia="zh-CN"/>
        </w:rPr>
        <w:t>女士</w:t>
      </w:r>
      <w:r>
        <w:rPr>
          <w:rFonts w:hint="eastAsia" w:hAnsi="Times New Roman"/>
          <w:lang w:val="en-US" w:eastAsia="zh-CN"/>
        </w:rPr>
        <w:t>简历见附件</w:t>
      </w:r>
      <w:r>
        <w:rPr>
          <w:rFonts w:hint="eastAsia" w:hAnsi="Times New Roman"/>
          <w:lang w:eastAsia="zh-CN"/>
        </w:rPr>
        <w:t>）</w:t>
      </w:r>
      <w:r>
        <w:rPr>
          <w:rFonts w:hint="eastAsia" w:hAnsi="Times New Roman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本次变更后，公司2015年发行股份购买资产持续督导财务顾问主办人为罗捷女士和范亚灵</w:t>
      </w:r>
      <w:r>
        <w:rPr>
          <w:rFonts w:hint="eastAsia" w:ascii="宋体" w:hAnsi="宋体"/>
          <w:sz w:val="24"/>
          <w:szCs w:val="24"/>
          <w:lang w:val="en-US" w:eastAsia="zh-CN"/>
        </w:rPr>
        <w:t>女士</w:t>
      </w:r>
      <w:r>
        <w:rPr>
          <w:rFonts w:hint="eastAsia" w:ascii="宋体" w:hAnsi="宋体"/>
          <w:sz w:val="24"/>
          <w:szCs w:val="24"/>
        </w:rPr>
        <w:t>，持续督导职责至兔宝宝2017年年报披露后相关持续督导意见出具完毕后止。</w:t>
      </w:r>
    </w:p>
    <w:p>
      <w:pPr>
        <w:pStyle w:val="4"/>
        <w:spacing w:line="360" w:lineRule="auto"/>
        <w:ind w:firstLine="480" w:firstLineChars="200"/>
        <w:rPr>
          <w:rFonts w:hint="eastAsia" w:hAnsi="Times New Roman"/>
        </w:rPr>
      </w:pPr>
    </w:p>
    <w:p>
      <w:pPr>
        <w:pStyle w:val="4"/>
        <w:spacing w:line="360" w:lineRule="auto"/>
        <w:ind w:firstLine="480" w:firstLineChars="200"/>
        <w:rPr>
          <w:rFonts w:hAnsi="Times New Roman"/>
        </w:rPr>
      </w:pPr>
      <w:r>
        <w:rPr>
          <w:rFonts w:hint="eastAsia" w:hAnsi="Times New Roman"/>
        </w:rPr>
        <w:t>特此公告。</w:t>
      </w:r>
      <w:r>
        <w:rPr>
          <w:rFonts w:hAnsi="Times New Roman"/>
        </w:rPr>
        <w:t xml:space="preserve"> </w:t>
      </w:r>
    </w:p>
    <w:p>
      <w:pPr>
        <w:spacing w:line="360" w:lineRule="auto"/>
        <w:jc w:val="right"/>
        <w:rPr>
          <w:rFonts w:hint="eastAsia" w:hAnsi="Times New Roman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德华兔宝宝装饰新材股份有限公司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sz w:val="24"/>
          <w:szCs w:val="24"/>
        </w:rPr>
        <w:t>董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事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2017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240"/>
        <w:jc w:val="left"/>
        <w:rPr>
          <w:rFonts w:hint="eastAsia" w:hAnsi="Times New Roman"/>
          <w:sz w:val="24"/>
          <w:szCs w:val="24"/>
        </w:rPr>
      </w:pPr>
    </w:p>
    <w:p>
      <w:pPr>
        <w:spacing w:line="360" w:lineRule="auto"/>
        <w:ind w:right="240"/>
        <w:jc w:val="left"/>
        <w:rPr>
          <w:rFonts w:hint="eastAsia" w:hAnsi="Times New Roman"/>
          <w:sz w:val="24"/>
          <w:szCs w:val="24"/>
        </w:rPr>
      </w:pPr>
    </w:p>
    <w:p>
      <w:pPr>
        <w:spacing w:line="360" w:lineRule="auto"/>
        <w:ind w:right="240"/>
        <w:jc w:val="left"/>
        <w:rPr>
          <w:rFonts w:hint="eastAsia" w:hAnsi="Times New Roman"/>
          <w:sz w:val="24"/>
          <w:szCs w:val="24"/>
        </w:rPr>
      </w:pPr>
    </w:p>
    <w:p>
      <w:pPr>
        <w:spacing w:line="360" w:lineRule="auto"/>
        <w:ind w:right="240"/>
        <w:jc w:val="left"/>
        <w:rPr>
          <w:rFonts w:hint="eastAsia" w:hAnsi="Times New Roman"/>
          <w:sz w:val="24"/>
          <w:szCs w:val="24"/>
        </w:rPr>
      </w:pPr>
    </w:p>
    <w:p>
      <w:pPr>
        <w:spacing w:line="360" w:lineRule="auto"/>
        <w:ind w:right="240"/>
        <w:jc w:val="left"/>
        <w:rPr>
          <w:rFonts w:hint="eastAsia" w:hAnsi="Times New Roman"/>
          <w:sz w:val="24"/>
          <w:szCs w:val="24"/>
        </w:rPr>
      </w:pPr>
      <w:r>
        <w:rPr>
          <w:rFonts w:hint="eastAsia" w:hAnsi="Times New Roman"/>
          <w:sz w:val="24"/>
          <w:szCs w:val="24"/>
        </w:rPr>
        <w:t>附件</w:t>
      </w:r>
    </w:p>
    <w:p>
      <w:pPr>
        <w:spacing w:line="360" w:lineRule="auto"/>
        <w:ind w:right="240"/>
        <w:jc w:val="center"/>
        <w:rPr>
          <w:rFonts w:hint="eastAsia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范亚灵女士</w:t>
      </w:r>
      <w:r>
        <w:rPr>
          <w:rFonts w:hint="eastAsia" w:hAnsi="Times New Roman"/>
          <w:sz w:val="24"/>
          <w:szCs w:val="24"/>
        </w:rPr>
        <w:t>简历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范亚灵，女，申万宏源证券承销保荐有限责任公司投资银行一部执行副总经理、保荐代表人、经济学硕士。从事投行工作14年，熟悉企业改制辅导、上市挂牌及再融资、并购重组等业务。负责或参与的主要项目有：福建金森（002679）IPO、云维股份（600725）两次再融资，云维股份（600725）重大资产收购财务顾问，云南工投公司债，银花股份（430739）新三板挂牌、帜讯信息（833252）新三板挂牌、中顺农业（834840）新三板挂牌、泰璞股份（836695）新三板挂牌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50768"/>
    <w:rsid w:val="01F50768"/>
    <w:rsid w:val="0A0044E1"/>
    <w:rsid w:val="3E75790B"/>
    <w:rsid w:val="41B72E83"/>
    <w:rsid w:val="78EC24A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2017-12-05T06:19:00Z</dcterms:created>
  <dc:creator>ASUSA</dc:creator>
  <cp:lastModifiedBy>ASUSA</cp:lastModifiedBy>
  <dcterms:modified xsi:type="dcterms:W3CDTF">2017-12-06T07:44:41Z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